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FC8A4">
      <w:pPr>
        <w:rPr>
          <w:rFonts w:hint="eastAsia" w:ascii="黑体" w:hAnsi="黑体" w:eastAsia="黑体"/>
          <w:sz w:val="32"/>
          <w:szCs w:val="32"/>
        </w:rPr>
      </w:pPr>
    </w:p>
    <w:p w14:paraId="7F811DBB">
      <w:pPr>
        <w:jc w:val="center"/>
        <w:rPr>
          <w:rFonts w:hint="eastAsia" w:ascii="方正小标宋_GBK" w:hAnsi="宋体" w:eastAsia="方正小标宋_GBK"/>
          <w:sz w:val="44"/>
          <w:szCs w:val="44"/>
        </w:rPr>
      </w:pPr>
    </w:p>
    <w:p w14:paraId="175E8D3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木垒哈萨克自治县卫生监督所</w:t>
      </w:r>
    </w:p>
    <w:p w14:paraId="215B46D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5B8E51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138A3E7">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4F4AFE1">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A0C3835">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1D531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ADAE86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B13A79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C1222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EBCBB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96857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2E2338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AE057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B787BB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82F25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3B2E9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1C1046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4D247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218296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3FA4B2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4213FF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A9F3D0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9F3D5C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A5E318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A9DEA6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735F7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C75847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36767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0F1E26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A87CB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68D79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C6D55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986956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B1E799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B2C7D24">
      <w:r>
        <w:rPr>
          <w:rFonts w:hint="eastAsia" w:ascii="仿宋_GB2312" w:hAnsi="仿宋_GB2312" w:eastAsia="仿宋_GB2312" w:cs="仿宋_GB2312"/>
          <w:sz w:val="32"/>
          <w:szCs w:val="32"/>
        </w:rPr>
        <w:fldChar w:fldCharType="end"/>
      </w:r>
    </w:p>
    <w:p w14:paraId="14C98048">
      <w:pPr>
        <w:rPr>
          <w:rFonts w:ascii="仿宋_GB2312" w:eastAsia="仿宋_GB2312"/>
          <w:sz w:val="32"/>
          <w:szCs w:val="32"/>
        </w:rPr>
      </w:pPr>
      <w:r>
        <w:rPr>
          <w:rFonts w:hint="eastAsia" w:ascii="仿宋_GB2312" w:eastAsia="仿宋_GB2312"/>
          <w:sz w:val="32"/>
          <w:szCs w:val="32"/>
        </w:rPr>
        <w:br w:type="page"/>
      </w:r>
    </w:p>
    <w:p w14:paraId="114B1876">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8F6133A">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31FD43F">
      <w:pPr>
        <w:ind w:firstLine="640" w:firstLineChars="200"/>
        <w:rPr>
          <w:rFonts w:ascii="仿宋_GB2312" w:eastAsia="仿宋_GB2312"/>
          <w:sz w:val="32"/>
          <w:szCs w:val="32"/>
        </w:rPr>
      </w:pPr>
      <w:r>
        <w:rPr>
          <w:rFonts w:hint="eastAsia" w:ascii="仿宋_GB2312" w:eastAsia="仿宋_GB2312"/>
          <w:sz w:val="32"/>
          <w:szCs w:val="32"/>
        </w:rPr>
        <w:t>1、组织制定和实施全县卫生监督工作规划。</w:t>
      </w:r>
    </w:p>
    <w:p w14:paraId="571E608F">
      <w:pPr>
        <w:ind w:firstLine="640" w:firstLineChars="200"/>
        <w:rPr>
          <w:rFonts w:ascii="仿宋_GB2312" w:eastAsia="仿宋_GB2312"/>
          <w:sz w:val="32"/>
          <w:szCs w:val="32"/>
        </w:rPr>
      </w:pPr>
      <w:r>
        <w:rPr>
          <w:rFonts w:hint="eastAsia" w:ascii="仿宋_GB2312" w:eastAsia="仿宋_GB2312"/>
          <w:sz w:val="32"/>
          <w:szCs w:val="32"/>
        </w:rPr>
        <w:t>2、负责法律、法规和规章规定由县级承担的卫生许可和执业许可申请的受理、初审、审批、上报。</w:t>
      </w:r>
    </w:p>
    <w:p w14:paraId="436B2876">
      <w:pPr>
        <w:ind w:firstLine="640" w:firstLineChars="200"/>
        <w:rPr>
          <w:rFonts w:ascii="仿宋_GB2312" w:eastAsia="仿宋_GB2312"/>
          <w:sz w:val="32"/>
          <w:szCs w:val="32"/>
        </w:rPr>
      </w:pPr>
      <w:r>
        <w:rPr>
          <w:rFonts w:hint="eastAsia" w:ascii="仿宋_GB2312" w:eastAsia="仿宋_GB2312"/>
          <w:sz w:val="32"/>
          <w:szCs w:val="32"/>
        </w:rPr>
        <w:t>3、依法开展卫生监督，定期开展健康相关产品的抽检。</w:t>
      </w:r>
    </w:p>
    <w:p w14:paraId="00FC20E5">
      <w:pPr>
        <w:ind w:firstLine="640" w:firstLineChars="200"/>
        <w:rPr>
          <w:rFonts w:ascii="仿宋_GB2312" w:eastAsia="仿宋_GB2312"/>
          <w:sz w:val="32"/>
          <w:szCs w:val="32"/>
        </w:rPr>
      </w:pPr>
      <w:r>
        <w:rPr>
          <w:rFonts w:hint="eastAsia" w:ascii="仿宋_GB2312" w:eastAsia="仿宋_GB2312"/>
          <w:sz w:val="32"/>
          <w:szCs w:val="32"/>
        </w:rPr>
        <w:t>4、负责受理群众举报和投诉的违法行为的调查和处理。</w:t>
      </w:r>
    </w:p>
    <w:p w14:paraId="6386A57D">
      <w:pPr>
        <w:ind w:firstLine="640" w:firstLineChars="200"/>
        <w:rPr>
          <w:rFonts w:ascii="仿宋_GB2312" w:eastAsia="仿宋_GB2312"/>
          <w:sz w:val="32"/>
          <w:szCs w:val="32"/>
        </w:rPr>
      </w:pPr>
      <w:r>
        <w:rPr>
          <w:rFonts w:hint="eastAsia" w:ascii="仿宋_GB2312" w:eastAsia="仿宋_GB2312"/>
          <w:sz w:val="32"/>
          <w:szCs w:val="32"/>
        </w:rPr>
        <w:t>5、开展卫生法律、法规的宣传、咨询和全县卫生监督员的培训。</w:t>
      </w:r>
    </w:p>
    <w:p w14:paraId="3F87A45F">
      <w:pPr>
        <w:ind w:firstLine="640" w:firstLineChars="200"/>
        <w:rPr>
          <w:rFonts w:ascii="仿宋_GB2312" w:eastAsia="仿宋_GB2312"/>
          <w:sz w:val="32"/>
          <w:szCs w:val="32"/>
        </w:rPr>
      </w:pPr>
      <w:r>
        <w:rPr>
          <w:rFonts w:hint="eastAsia" w:ascii="仿宋_GB2312" w:eastAsia="仿宋_GB2312"/>
          <w:sz w:val="32"/>
          <w:szCs w:val="32"/>
        </w:rPr>
        <w:t>6、承担卫生行政部门交付的其他卫生监督任务。</w:t>
      </w:r>
    </w:p>
    <w:p w14:paraId="634C5FED">
      <w:pPr>
        <w:ind w:firstLine="640" w:firstLineChars="200"/>
        <w:rPr>
          <w:rFonts w:ascii="仿宋_GB2312" w:eastAsia="仿宋_GB2312"/>
          <w:sz w:val="32"/>
          <w:szCs w:val="32"/>
        </w:rPr>
      </w:pPr>
      <w:r>
        <w:rPr>
          <w:rFonts w:hint="eastAsia" w:ascii="仿宋_GB2312" w:eastAsia="仿宋_GB2312"/>
          <w:sz w:val="32"/>
          <w:szCs w:val="32"/>
        </w:rPr>
        <w:t>7、公共场所监督管理、医疗卫生场所管理。公共场所:旅社、酒吧、游艺场所、车站候车室、美容、KTV、网吧、酒店等。医疗卫生场所:医院、诊所、牙医、美容院等。</w:t>
      </w:r>
    </w:p>
    <w:p w14:paraId="0408E85C">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4C6BC0E">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木垒哈萨克自治县卫生监督所2023年度，实有人数</w:t>
      </w:r>
      <w:r>
        <w:rPr>
          <w:rFonts w:hint="eastAsia" w:ascii="仿宋_GB2312" w:eastAsia="仿宋_GB2312"/>
          <w:sz w:val="32"/>
          <w:szCs w:val="32"/>
          <w:lang w:val="zh-CN"/>
        </w:rPr>
        <w:t>9</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14:paraId="2CD44DBF">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个处室，分别是：办公室、公共卫生监督科、医疗卫生监督科、职业放射卫生科、稽查科</w:t>
      </w:r>
      <w:r>
        <w:rPr>
          <w:rFonts w:hint="eastAsia" w:ascii="仿宋_GB2312" w:hAnsi="宋体" w:eastAsia="仿宋_GB2312" w:cs="宋体"/>
          <w:kern w:val="0"/>
          <w:sz w:val="32"/>
          <w:szCs w:val="32"/>
        </w:rPr>
        <w:t>。</w:t>
      </w:r>
    </w:p>
    <w:p w14:paraId="276D32C6">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341A8A7">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8EFD687">
      <w:pPr>
        <w:ind w:firstLine="640" w:firstLineChars="200"/>
        <w:jc w:val="left"/>
        <w:rPr>
          <w:rFonts w:ascii="仿宋_GB2312" w:eastAsia="仿宋_GB2312"/>
          <w:sz w:val="32"/>
          <w:szCs w:val="32"/>
        </w:rPr>
      </w:pPr>
      <w:r>
        <w:rPr>
          <w:rFonts w:hint="eastAsia" w:ascii="仿宋_GB2312" w:eastAsia="仿宋_GB2312"/>
          <w:sz w:val="32"/>
          <w:szCs w:val="32"/>
        </w:rPr>
        <w:t>2023年度收入总计90.51万元，其中：本年收入合计90.51万元，使用非财政拨款结余0.00万元，年初结转和结余0.00万元。</w:t>
      </w:r>
    </w:p>
    <w:p w14:paraId="1405B3F1">
      <w:pPr>
        <w:ind w:firstLine="640" w:firstLineChars="200"/>
        <w:jc w:val="left"/>
        <w:rPr>
          <w:rFonts w:ascii="仿宋_GB2312" w:eastAsia="仿宋_GB2312"/>
          <w:sz w:val="32"/>
          <w:szCs w:val="32"/>
        </w:rPr>
      </w:pPr>
      <w:r>
        <w:rPr>
          <w:rFonts w:hint="eastAsia" w:ascii="仿宋_GB2312" w:eastAsia="仿宋_GB2312"/>
          <w:sz w:val="32"/>
          <w:szCs w:val="32"/>
        </w:rPr>
        <w:t>2023年度支出总计90.51万元，其中：本年支出合计90.51万元，结余分配0.00万元，年末结转和结余0.00万元。</w:t>
      </w:r>
    </w:p>
    <w:p w14:paraId="39D4CF3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减少9.16万元，下降9.19%，主要原因是：单位本年</w:t>
      </w:r>
      <w:r>
        <w:rPr>
          <w:rFonts w:hint="eastAsia" w:ascii="仿宋_GB2312" w:eastAsia="仿宋_GB2312"/>
          <w:sz w:val="32"/>
          <w:szCs w:val="32"/>
          <w:lang w:val="en-US" w:eastAsia="zh-CN"/>
        </w:rPr>
        <w:t>长聘</w:t>
      </w:r>
      <w:r>
        <w:rPr>
          <w:rFonts w:hint="eastAsia" w:ascii="仿宋_GB2312" w:eastAsia="仿宋_GB2312"/>
          <w:sz w:val="32"/>
          <w:szCs w:val="32"/>
          <w:lang w:val="zh-CN"/>
        </w:rPr>
        <w:t>人员减少，相应</w:t>
      </w:r>
      <w:r>
        <w:rPr>
          <w:rFonts w:hint="eastAsia" w:ascii="仿宋_GB2312" w:eastAsia="仿宋_GB2312"/>
          <w:sz w:val="32"/>
          <w:szCs w:val="32"/>
          <w:lang w:val="en-US" w:eastAsia="zh-CN"/>
        </w:rPr>
        <w:t>长聘</w:t>
      </w:r>
      <w:r>
        <w:rPr>
          <w:rFonts w:hint="eastAsia" w:ascii="仿宋_GB2312" w:eastAsia="仿宋_GB2312"/>
          <w:sz w:val="32"/>
          <w:szCs w:val="32"/>
          <w:lang w:val="zh-CN"/>
        </w:rPr>
        <w:t>人员工资</w:t>
      </w:r>
      <w:r>
        <w:rPr>
          <w:rFonts w:hint="eastAsia" w:ascii="仿宋_GB2312" w:eastAsia="仿宋_GB2312"/>
          <w:sz w:val="32"/>
          <w:szCs w:val="32"/>
          <w:lang w:val="en-US" w:eastAsia="zh-CN"/>
        </w:rPr>
        <w:t>福利经费</w:t>
      </w:r>
      <w:r>
        <w:rPr>
          <w:rFonts w:hint="eastAsia" w:ascii="仿宋_GB2312" w:eastAsia="仿宋_GB2312"/>
          <w:sz w:val="32"/>
          <w:szCs w:val="32"/>
          <w:lang w:val="zh-CN"/>
        </w:rPr>
        <w:t>减少；</w:t>
      </w:r>
      <w:r>
        <w:rPr>
          <w:rFonts w:hint="eastAsia" w:ascii="仿宋_GB2312" w:eastAsia="仿宋_GB2312"/>
          <w:kern w:val="2"/>
          <w:sz w:val="32"/>
          <w:szCs w:val="32"/>
          <w:lang w:val="zh-CN"/>
        </w:rPr>
        <w:t>工作队驻村个人补助项目经费</w:t>
      </w:r>
      <w:r>
        <w:rPr>
          <w:rFonts w:hint="eastAsia" w:ascii="仿宋_GB2312" w:eastAsia="仿宋_GB2312"/>
          <w:kern w:val="2"/>
          <w:sz w:val="32"/>
          <w:szCs w:val="32"/>
          <w:lang w:val="en-US" w:eastAsia="zh-CN"/>
        </w:rPr>
        <w:t>减少</w:t>
      </w:r>
      <w:r>
        <w:rPr>
          <w:rFonts w:hint="eastAsia" w:ascii="仿宋_GB2312" w:eastAsia="仿宋_GB2312"/>
          <w:sz w:val="32"/>
          <w:szCs w:val="32"/>
          <w:lang w:val="zh-CN"/>
        </w:rPr>
        <w:t>。</w:t>
      </w:r>
    </w:p>
    <w:p w14:paraId="341D257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5D338645">
      <w:pPr>
        <w:ind w:firstLine="640" w:firstLineChars="200"/>
        <w:jc w:val="left"/>
        <w:rPr>
          <w:rFonts w:ascii="仿宋_GB2312" w:eastAsia="仿宋_GB2312"/>
          <w:sz w:val="32"/>
          <w:szCs w:val="32"/>
        </w:rPr>
      </w:pPr>
      <w:r>
        <w:rPr>
          <w:rFonts w:hint="eastAsia" w:ascii="仿宋_GB2312" w:eastAsia="仿宋_GB2312"/>
          <w:sz w:val="32"/>
          <w:szCs w:val="32"/>
        </w:rPr>
        <w:t>本年收入90.51万元，其中：财政拨款收入</w:t>
      </w:r>
      <w:r>
        <w:rPr>
          <w:rFonts w:hint="eastAsia" w:ascii="仿宋_GB2312" w:eastAsia="仿宋_GB2312"/>
          <w:sz w:val="32"/>
          <w:szCs w:val="32"/>
          <w:lang w:val="zh-CN"/>
        </w:rPr>
        <w:t>90.51</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CB2F3D0">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84037E0">
      <w:pPr>
        <w:ind w:firstLine="640" w:firstLineChars="200"/>
        <w:jc w:val="left"/>
        <w:rPr>
          <w:rFonts w:ascii="仿宋_GB2312" w:eastAsia="仿宋_GB2312"/>
          <w:sz w:val="32"/>
          <w:szCs w:val="32"/>
        </w:rPr>
      </w:pPr>
      <w:r>
        <w:rPr>
          <w:rFonts w:hint="eastAsia" w:ascii="仿宋_GB2312" w:eastAsia="仿宋_GB2312"/>
          <w:sz w:val="32"/>
          <w:szCs w:val="32"/>
        </w:rPr>
        <w:t>本年支出90.51万元，其中：基本支出89.21万元，占98.56%；项目支出1.30万元，占1.44%；上缴上级支出0.00万元，占0.00%；经营支出0.00万元，占0.00%；对附属单位补助支出0.00万元，占0.00%。</w:t>
      </w:r>
    </w:p>
    <w:p w14:paraId="72AC4086">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5343EB4">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90.51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90.51</w:t>
      </w:r>
      <w:r>
        <w:rPr>
          <w:rFonts w:hint="eastAsia" w:ascii="仿宋_GB2312" w:eastAsia="仿宋_GB2312"/>
          <w:sz w:val="32"/>
          <w:szCs w:val="32"/>
        </w:rPr>
        <w:t>万元。财政拨款支出总计</w:t>
      </w:r>
      <w:r>
        <w:rPr>
          <w:rFonts w:hint="eastAsia" w:ascii="仿宋_GB2312" w:eastAsia="仿宋_GB2312"/>
          <w:sz w:val="32"/>
          <w:szCs w:val="32"/>
          <w:lang w:val="zh-CN"/>
        </w:rPr>
        <w:t>90.51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90.51</w:t>
      </w:r>
      <w:r>
        <w:rPr>
          <w:rFonts w:hint="eastAsia" w:ascii="仿宋_GB2312" w:eastAsia="仿宋_GB2312"/>
          <w:sz w:val="32"/>
          <w:szCs w:val="32"/>
        </w:rPr>
        <w:t>万元。</w:t>
      </w:r>
    </w:p>
    <w:p w14:paraId="50565A2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减少6.15万元</w:t>
      </w:r>
      <w:r>
        <w:rPr>
          <w:rFonts w:hint="eastAsia" w:ascii="仿宋_GB2312" w:eastAsia="仿宋_GB2312"/>
          <w:sz w:val="32"/>
          <w:szCs w:val="32"/>
        </w:rPr>
        <w:t>，下降6.36%,主要原因是：</w:t>
      </w:r>
      <w:r>
        <w:rPr>
          <w:rFonts w:hint="eastAsia" w:ascii="仿宋_GB2312" w:eastAsia="仿宋_GB2312"/>
          <w:sz w:val="32"/>
          <w:szCs w:val="32"/>
          <w:lang w:val="zh-CN"/>
        </w:rPr>
        <w:t>单位本年</w:t>
      </w:r>
      <w:r>
        <w:rPr>
          <w:rFonts w:hint="eastAsia" w:ascii="仿宋_GB2312" w:eastAsia="仿宋_GB2312"/>
          <w:sz w:val="32"/>
          <w:szCs w:val="32"/>
          <w:lang w:val="en-US" w:eastAsia="zh-CN"/>
        </w:rPr>
        <w:t>长聘</w:t>
      </w:r>
      <w:r>
        <w:rPr>
          <w:rFonts w:hint="eastAsia" w:ascii="仿宋_GB2312" w:eastAsia="仿宋_GB2312"/>
          <w:sz w:val="32"/>
          <w:szCs w:val="32"/>
          <w:lang w:val="zh-CN"/>
        </w:rPr>
        <w:t>人员减少，相应</w:t>
      </w:r>
      <w:r>
        <w:rPr>
          <w:rFonts w:hint="eastAsia" w:ascii="仿宋_GB2312" w:eastAsia="仿宋_GB2312"/>
          <w:sz w:val="32"/>
          <w:szCs w:val="32"/>
          <w:lang w:val="en-US" w:eastAsia="zh-CN"/>
        </w:rPr>
        <w:t>长聘</w:t>
      </w:r>
      <w:r>
        <w:rPr>
          <w:rFonts w:hint="eastAsia" w:ascii="仿宋_GB2312" w:eastAsia="仿宋_GB2312"/>
          <w:sz w:val="32"/>
          <w:szCs w:val="32"/>
          <w:lang w:val="zh-CN"/>
        </w:rPr>
        <w:t>人员工资</w:t>
      </w:r>
      <w:r>
        <w:rPr>
          <w:rFonts w:hint="eastAsia" w:ascii="仿宋_GB2312" w:eastAsia="仿宋_GB2312"/>
          <w:sz w:val="32"/>
          <w:szCs w:val="32"/>
          <w:lang w:val="en-US" w:eastAsia="zh-CN"/>
        </w:rPr>
        <w:t>福利经费</w:t>
      </w:r>
      <w:r>
        <w:rPr>
          <w:rFonts w:hint="eastAsia" w:ascii="仿宋_GB2312" w:eastAsia="仿宋_GB2312"/>
          <w:sz w:val="32"/>
          <w:szCs w:val="32"/>
          <w:lang w:val="zh-CN"/>
        </w:rPr>
        <w:t>减少；</w:t>
      </w:r>
      <w:r>
        <w:rPr>
          <w:rFonts w:hint="eastAsia" w:ascii="仿宋_GB2312" w:eastAsia="仿宋_GB2312"/>
          <w:kern w:val="2"/>
          <w:sz w:val="32"/>
          <w:szCs w:val="32"/>
          <w:lang w:val="zh-CN"/>
        </w:rPr>
        <w:t>工作队驻村个人补助项目经费</w:t>
      </w:r>
      <w:r>
        <w:rPr>
          <w:rFonts w:hint="eastAsia" w:ascii="仿宋_GB2312" w:eastAsia="仿宋_GB2312"/>
          <w:kern w:val="2"/>
          <w:sz w:val="32"/>
          <w:szCs w:val="32"/>
          <w:lang w:val="en-US" w:eastAsia="zh-CN"/>
        </w:rPr>
        <w:t>减少</w:t>
      </w:r>
      <w:r>
        <w:rPr>
          <w:rFonts w:hint="eastAsia" w:ascii="仿宋_GB2312" w:eastAsia="仿宋_GB2312"/>
          <w:sz w:val="32"/>
          <w:szCs w:val="32"/>
        </w:rPr>
        <w:t>。与年初预算相比，年初预算数</w:t>
      </w:r>
      <w:r>
        <w:rPr>
          <w:rFonts w:hint="eastAsia" w:ascii="仿宋_GB2312" w:eastAsia="仿宋_GB2312"/>
          <w:sz w:val="32"/>
          <w:szCs w:val="32"/>
          <w:lang w:val="zh-CN"/>
        </w:rPr>
        <w:t>87.44</w:t>
      </w:r>
      <w:r>
        <w:rPr>
          <w:rFonts w:hint="eastAsia" w:ascii="仿宋_GB2312" w:eastAsia="仿宋_GB2312"/>
          <w:sz w:val="32"/>
          <w:szCs w:val="32"/>
        </w:rPr>
        <w:t>万元，决算数</w:t>
      </w:r>
      <w:r>
        <w:rPr>
          <w:rFonts w:hint="eastAsia" w:ascii="仿宋_GB2312" w:eastAsia="仿宋_GB2312"/>
          <w:sz w:val="32"/>
          <w:szCs w:val="32"/>
          <w:lang w:val="zh-CN"/>
        </w:rPr>
        <w:t>90.51</w:t>
      </w:r>
      <w:r>
        <w:rPr>
          <w:rFonts w:hint="eastAsia" w:ascii="仿宋_GB2312" w:eastAsia="仿宋_GB2312"/>
          <w:sz w:val="32"/>
          <w:szCs w:val="32"/>
        </w:rPr>
        <w:t>万元，预决算差异率3.51%，主要原因是：年中追加中央基本公共办公服务项目经费。</w:t>
      </w:r>
    </w:p>
    <w:p w14:paraId="1BCC7C8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ED321E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4C7D42F">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2023年度一般公共预算财政拨款支出90.51万元，占本年支出合计的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减少6.15万元</w:t>
      </w:r>
      <w:r>
        <w:rPr>
          <w:rFonts w:hint="eastAsia" w:ascii="仿宋_GB2312" w:eastAsia="仿宋_GB2312"/>
          <w:sz w:val="32"/>
          <w:szCs w:val="32"/>
        </w:rPr>
        <w:t>，下降6.36%,主要原因是：</w:t>
      </w:r>
      <w:r>
        <w:rPr>
          <w:rFonts w:hint="eastAsia" w:ascii="仿宋_GB2312" w:eastAsia="仿宋_GB2312"/>
          <w:sz w:val="32"/>
          <w:szCs w:val="32"/>
          <w:lang w:val="zh-CN"/>
        </w:rPr>
        <w:t>单位本年</w:t>
      </w:r>
      <w:r>
        <w:rPr>
          <w:rFonts w:hint="eastAsia" w:ascii="仿宋_GB2312" w:eastAsia="仿宋_GB2312"/>
          <w:sz w:val="32"/>
          <w:szCs w:val="32"/>
          <w:lang w:val="en-US" w:eastAsia="zh-CN"/>
        </w:rPr>
        <w:t>长聘</w:t>
      </w:r>
      <w:r>
        <w:rPr>
          <w:rFonts w:hint="eastAsia" w:ascii="仿宋_GB2312" w:eastAsia="仿宋_GB2312"/>
          <w:sz w:val="32"/>
          <w:szCs w:val="32"/>
          <w:lang w:val="zh-CN"/>
        </w:rPr>
        <w:t>人员减少，相应</w:t>
      </w:r>
      <w:r>
        <w:rPr>
          <w:rFonts w:hint="eastAsia" w:ascii="仿宋_GB2312" w:eastAsia="仿宋_GB2312"/>
          <w:sz w:val="32"/>
          <w:szCs w:val="32"/>
          <w:lang w:val="en-US" w:eastAsia="zh-CN"/>
        </w:rPr>
        <w:t>长聘</w:t>
      </w:r>
      <w:r>
        <w:rPr>
          <w:rFonts w:hint="eastAsia" w:ascii="仿宋_GB2312" w:eastAsia="仿宋_GB2312"/>
          <w:sz w:val="32"/>
          <w:szCs w:val="32"/>
          <w:lang w:val="zh-CN"/>
        </w:rPr>
        <w:t>人员工资</w:t>
      </w:r>
      <w:r>
        <w:rPr>
          <w:rFonts w:hint="eastAsia" w:ascii="仿宋_GB2312" w:eastAsia="仿宋_GB2312"/>
          <w:sz w:val="32"/>
          <w:szCs w:val="32"/>
          <w:lang w:val="en-US" w:eastAsia="zh-CN"/>
        </w:rPr>
        <w:t>福利经费</w:t>
      </w:r>
      <w:r>
        <w:rPr>
          <w:rFonts w:hint="eastAsia" w:ascii="仿宋_GB2312" w:eastAsia="仿宋_GB2312"/>
          <w:sz w:val="32"/>
          <w:szCs w:val="32"/>
          <w:lang w:val="zh-CN"/>
        </w:rPr>
        <w:t>减少；</w:t>
      </w:r>
      <w:r>
        <w:rPr>
          <w:rFonts w:hint="eastAsia" w:ascii="仿宋_GB2312" w:eastAsia="仿宋_GB2312"/>
          <w:kern w:val="2"/>
          <w:sz w:val="32"/>
          <w:szCs w:val="32"/>
          <w:lang w:val="zh-CN"/>
        </w:rPr>
        <w:t>工作队驻村个人补助项目经费</w:t>
      </w:r>
      <w:r>
        <w:rPr>
          <w:rFonts w:hint="eastAsia" w:ascii="仿宋_GB2312" w:eastAsia="仿宋_GB2312"/>
          <w:kern w:val="2"/>
          <w:sz w:val="32"/>
          <w:szCs w:val="32"/>
          <w:lang w:val="en-US" w:eastAsia="zh-CN"/>
        </w:rPr>
        <w:t>减少</w:t>
      </w:r>
      <w:r>
        <w:rPr>
          <w:rFonts w:hint="eastAsia" w:ascii="仿宋_GB2312" w:eastAsia="仿宋_GB2312"/>
          <w:sz w:val="32"/>
          <w:szCs w:val="32"/>
        </w:rPr>
        <w:t>。与年初预算相比，年初预算数</w:t>
      </w:r>
      <w:r>
        <w:rPr>
          <w:rFonts w:hint="eastAsia" w:ascii="仿宋_GB2312" w:eastAsia="仿宋_GB2312"/>
          <w:sz w:val="32"/>
          <w:szCs w:val="32"/>
          <w:lang w:val="zh-CN"/>
        </w:rPr>
        <w:t>87.44</w:t>
      </w:r>
      <w:r>
        <w:rPr>
          <w:rFonts w:hint="eastAsia" w:ascii="仿宋_GB2312" w:eastAsia="仿宋_GB2312"/>
          <w:sz w:val="32"/>
          <w:szCs w:val="32"/>
        </w:rPr>
        <w:t>万元，决算数</w:t>
      </w:r>
      <w:r>
        <w:rPr>
          <w:rFonts w:hint="eastAsia" w:ascii="仿宋_GB2312" w:eastAsia="仿宋_GB2312"/>
          <w:sz w:val="32"/>
          <w:szCs w:val="32"/>
          <w:lang w:val="zh-CN"/>
        </w:rPr>
        <w:t>90.51</w:t>
      </w:r>
      <w:r>
        <w:rPr>
          <w:rFonts w:hint="eastAsia" w:ascii="仿宋_GB2312" w:eastAsia="仿宋_GB2312"/>
          <w:sz w:val="32"/>
          <w:szCs w:val="32"/>
        </w:rPr>
        <w:t>万元，预决算差异率</w:t>
      </w:r>
      <w:r>
        <w:rPr>
          <w:rFonts w:hint="eastAsia" w:ascii="仿宋_GB2312" w:eastAsia="仿宋_GB2312"/>
          <w:sz w:val="32"/>
          <w:szCs w:val="32"/>
          <w:lang w:val="zh-CN"/>
        </w:rPr>
        <w:t>3.51%</w:t>
      </w:r>
      <w:r>
        <w:rPr>
          <w:rFonts w:hint="eastAsia" w:ascii="仿宋_GB2312" w:eastAsia="仿宋_GB2312"/>
          <w:sz w:val="32"/>
          <w:szCs w:val="32"/>
        </w:rPr>
        <w:t>，主要原因是：年中追加中央基本公共办公服务项目经费。</w:t>
      </w:r>
    </w:p>
    <w:p w14:paraId="1123FD4C">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433D89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9.61</w:t>
      </w:r>
      <w:r>
        <w:rPr>
          <w:rFonts w:ascii="仿宋_GB2312" w:eastAsia="仿宋_GB2312"/>
          <w:kern w:val="2"/>
          <w:sz w:val="32"/>
          <w:szCs w:val="32"/>
          <w:lang w:val="zh-CN"/>
        </w:rPr>
        <w:t>万元，占</w:t>
      </w:r>
      <w:r>
        <w:rPr>
          <w:rFonts w:hint="eastAsia" w:ascii="仿宋_GB2312" w:eastAsia="仿宋_GB2312"/>
          <w:kern w:val="2"/>
          <w:sz w:val="32"/>
          <w:szCs w:val="32"/>
          <w:lang w:val="zh-CN"/>
        </w:rPr>
        <w:t>10.62</w:t>
      </w:r>
      <w:r>
        <w:rPr>
          <w:rFonts w:ascii="仿宋_GB2312" w:eastAsia="仿宋_GB2312"/>
          <w:kern w:val="2"/>
          <w:sz w:val="32"/>
          <w:szCs w:val="32"/>
          <w:lang w:val="zh-CN"/>
        </w:rPr>
        <w:t>%；</w:t>
      </w:r>
    </w:p>
    <w:p w14:paraId="4409403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74.55</w:t>
      </w:r>
      <w:r>
        <w:rPr>
          <w:rFonts w:ascii="仿宋_GB2312" w:eastAsia="仿宋_GB2312"/>
          <w:kern w:val="2"/>
          <w:sz w:val="32"/>
          <w:szCs w:val="32"/>
          <w:lang w:val="zh-CN"/>
        </w:rPr>
        <w:t>万元，占</w:t>
      </w:r>
      <w:r>
        <w:rPr>
          <w:rFonts w:hint="eastAsia" w:ascii="仿宋_GB2312" w:eastAsia="仿宋_GB2312"/>
          <w:kern w:val="2"/>
          <w:sz w:val="32"/>
          <w:szCs w:val="32"/>
          <w:lang w:val="zh-CN"/>
        </w:rPr>
        <w:t>82.37</w:t>
      </w:r>
      <w:r>
        <w:rPr>
          <w:rFonts w:ascii="仿宋_GB2312" w:eastAsia="仿宋_GB2312"/>
          <w:kern w:val="2"/>
          <w:sz w:val="32"/>
          <w:szCs w:val="32"/>
          <w:lang w:val="zh-CN"/>
        </w:rPr>
        <w:t>%；</w:t>
      </w:r>
    </w:p>
    <w:p w14:paraId="1D977C9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6.35</w:t>
      </w:r>
      <w:r>
        <w:rPr>
          <w:rFonts w:ascii="仿宋_GB2312" w:eastAsia="仿宋_GB2312"/>
          <w:kern w:val="2"/>
          <w:sz w:val="32"/>
          <w:szCs w:val="32"/>
          <w:lang w:val="zh-CN"/>
        </w:rPr>
        <w:t>万元，占</w:t>
      </w:r>
      <w:r>
        <w:rPr>
          <w:rFonts w:hint="eastAsia" w:ascii="仿宋_GB2312" w:eastAsia="仿宋_GB2312"/>
          <w:kern w:val="2"/>
          <w:sz w:val="32"/>
          <w:szCs w:val="32"/>
          <w:lang w:val="zh-CN"/>
        </w:rPr>
        <w:t>7.02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9F356F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75B80D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1.卫生健康支出（类）卫生健康管理事务（款）行政运行（项）:支出决算数为1.53万元，比上年决算增加1.53万元，增长100%，主要原因是：单位本年补发以前年度津贴补贴。</w:t>
      </w:r>
    </w:p>
    <w:p w14:paraId="2C6AACC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2.住房保障支出（类）住房改革支出（款）住房公积金（项）:支出决算数为6.35万元，比上年决算增加0.46万元，增长7.81%，主要原因是：单位本年</w:t>
      </w:r>
      <w:r>
        <w:rPr>
          <w:rFonts w:hint="eastAsia" w:ascii="仿宋_GB2312" w:eastAsia="仿宋_GB2312"/>
          <w:kern w:val="2"/>
          <w:sz w:val="32"/>
          <w:szCs w:val="32"/>
          <w:lang w:val="en-US" w:eastAsia="zh-CN"/>
        </w:rPr>
        <w:t>在职人员工资</w:t>
      </w:r>
      <w:r>
        <w:rPr>
          <w:rFonts w:hint="eastAsia" w:ascii="仿宋_GB2312" w:eastAsia="仿宋_GB2312"/>
          <w:kern w:val="2"/>
          <w:sz w:val="32"/>
          <w:szCs w:val="32"/>
          <w:lang w:val="zh-CN"/>
        </w:rPr>
        <w:t>调增，相应人员公积金缴费增加。</w:t>
      </w:r>
    </w:p>
    <w:p w14:paraId="1372D44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3.卫生健康支出（类）公共卫生（款）卫生监督机构（项）:支出决算数为71.73万元，比上年决算减少3.47万元，下降4.61%，主要原因是：</w:t>
      </w:r>
      <w:r>
        <w:rPr>
          <w:rFonts w:hint="eastAsia" w:ascii="仿宋_GB2312" w:eastAsia="仿宋_GB2312"/>
          <w:sz w:val="32"/>
          <w:szCs w:val="32"/>
          <w:lang w:val="zh-CN"/>
        </w:rPr>
        <w:t>单位本年</w:t>
      </w:r>
      <w:r>
        <w:rPr>
          <w:rFonts w:hint="eastAsia" w:ascii="仿宋_GB2312" w:eastAsia="仿宋_GB2312"/>
          <w:sz w:val="32"/>
          <w:szCs w:val="32"/>
          <w:lang w:val="en-US" w:eastAsia="zh-CN"/>
        </w:rPr>
        <w:t>长聘</w:t>
      </w:r>
      <w:r>
        <w:rPr>
          <w:rFonts w:hint="eastAsia" w:ascii="仿宋_GB2312" w:eastAsia="仿宋_GB2312"/>
          <w:sz w:val="32"/>
          <w:szCs w:val="32"/>
          <w:lang w:val="zh-CN"/>
        </w:rPr>
        <w:t>人员减少，相应</w:t>
      </w:r>
      <w:r>
        <w:rPr>
          <w:rFonts w:hint="eastAsia" w:ascii="仿宋_GB2312" w:eastAsia="仿宋_GB2312"/>
          <w:sz w:val="32"/>
          <w:szCs w:val="32"/>
          <w:lang w:val="en-US" w:eastAsia="zh-CN"/>
        </w:rPr>
        <w:t>长聘</w:t>
      </w:r>
      <w:r>
        <w:rPr>
          <w:rFonts w:hint="eastAsia" w:ascii="仿宋_GB2312" w:eastAsia="仿宋_GB2312"/>
          <w:sz w:val="32"/>
          <w:szCs w:val="32"/>
          <w:lang w:val="zh-CN"/>
        </w:rPr>
        <w:t>人员工资</w:t>
      </w:r>
      <w:r>
        <w:rPr>
          <w:rFonts w:hint="eastAsia" w:ascii="仿宋_GB2312" w:eastAsia="仿宋_GB2312"/>
          <w:sz w:val="32"/>
          <w:szCs w:val="32"/>
          <w:lang w:val="en-US" w:eastAsia="zh-CN"/>
        </w:rPr>
        <w:t>福利经费</w:t>
      </w:r>
      <w:r>
        <w:rPr>
          <w:rFonts w:hint="eastAsia" w:ascii="仿宋_GB2312" w:eastAsia="仿宋_GB2312"/>
          <w:sz w:val="32"/>
          <w:szCs w:val="32"/>
          <w:lang w:val="zh-CN"/>
        </w:rPr>
        <w:t>减少</w:t>
      </w:r>
      <w:r>
        <w:rPr>
          <w:rFonts w:hint="eastAsia" w:ascii="仿宋_GB2312" w:eastAsia="仿宋_GB2312"/>
          <w:kern w:val="2"/>
          <w:sz w:val="32"/>
          <w:szCs w:val="32"/>
          <w:lang w:val="zh-CN"/>
        </w:rPr>
        <w:t>。</w:t>
      </w:r>
    </w:p>
    <w:p w14:paraId="3746E2B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4.社会保障和就业支出（类）行政事业单位养老支出（款）行政单位离退休（项）:支出决算数为1.22万元，比上年决算增加0.57万元，增长87.69%，主要原因是：单位本年退休人员交通补助、取暖费增加。</w:t>
      </w:r>
    </w:p>
    <w:p w14:paraId="35754DE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5.卫生健康支出（类）公共卫生（款）基本公共卫生服务（项）:支出决算数为1.30万元，比上年决算减少0.70万元，下降35.00%，主要原因是：中央基本公共办公服务经费减少。</w:t>
      </w:r>
    </w:p>
    <w:p w14:paraId="703B015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6.社会保障和就业支出（类）行政事业单位养老支出（款）机关事业单位基本养老保险缴费支出（项）:支出决算数为8.39万元，比上年决算增加0.84万元，增长11.27%，主要原因是：单位本年</w:t>
      </w:r>
      <w:r>
        <w:rPr>
          <w:rFonts w:hint="eastAsia" w:ascii="仿宋_GB2312" w:eastAsia="仿宋_GB2312"/>
          <w:kern w:val="2"/>
          <w:sz w:val="32"/>
          <w:szCs w:val="32"/>
          <w:lang w:val="en-US" w:eastAsia="zh-CN"/>
        </w:rPr>
        <w:t>在职人员工资</w:t>
      </w:r>
      <w:r>
        <w:rPr>
          <w:rFonts w:hint="eastAsia" w:ascii="仿宋_GB2312" w:eastAsia="仿宋_GB2312"/>
          <w:kern w:val="2"/>
          <w:sz w:val="32"/>
          <w:szCs w:val="32"/>
          <w:lang w:val="zh-CN"/>
        </w:rPr>
        <w:t>调增，相应人员养老保险缴费增加。</w:t>
      </w:r>
    </w:p>
    <w:p w14:paraId="22B05A8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7.社会保障和就业支出（类）行政事业单位养老支出（款）机关事业单位职业年金缴费支出（项）:支出决算数为0.00万元，比上年决算减少4.89万元，下降100%，主要原因是：单位本年</w:t>
      </w:r>
      <w:r>
        <w:rPr>
          <w:rFonts w:hint="eastAsia" w:ascii="仿宋_GB2312" w:eastAsia="仿宋_GB2312"/>
          <w:kern w:val="2"/>
          <w:sz w:val="32"/>
          <w:szCs w:val="32"/>
          <w:lang w:val="en-US" w:eastAsia="zh-CN"/>
        </w:rPr>
        <w:t>一次性</w:t>
      </w:r>
      <w:r>
        <w:rPr>
          <w:rFonts w:hint="eastAsia" w:ascii="仿宋_GB2312" w:eastAsia="仿宋_GB2312"/>
          <w:kern w:val="2"/>
          <w:sz w:val="32"/>
          <w:szCs w:val="32"/>
          <w:lang w:val="zh-CN"/>
        </w:rPr>
        <w:t>职业年金缴费减少。</w:t>
      </w:r>
    </w:p>
    <w:p w14:paraId="628EA02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8.其他支出（类）其他支出（款）其他支出（项）:支出决算数为0.00万元，比上年决算减少0.49万元，下降100%，主要原因是：本年减少工作队驻村个人补助项目经费。</w:t>
      </w:r>
    </w:p>
    <w:p w14:paraId="14A3A6B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540193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89.21万元，其中：人员经费85.64万元，包括：基本工资、津贴补贴、奖金、机关事业单位基本养老保险缴费、职工基本医疗保险缴费、公务员医疗补助缴费、其他社会保障缴费、住房公积金、退休费、奖励金、其他对个人和家庭的补助。</w:t>
      </w:r>
    </w:p>
    <w:p w14:paraId="3460554B">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公用经费3.57万元，包括：办公费、邮电费、取暖费、差旅费、工会经费、公务用车运行维护费。</w:t>
      </w:r>
    </w:p>
    <w:p w14:paraId="6EB4F8E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FBDD43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“三公”经费支出0.85万元，</w:t>
      </w:r>
      <w:r>
        <w:rPr>
          <w:rFonts w:hint="eastAsia" w:ascii="仿宋_GB2312" w:eastAsia="仿宋_GB2312"/>
          <w:sz w:val="32"/>
          <w:szCs w:val="32"/>
        </w:rPr>
        <w:t>比上年</w:t>
      </w:r>
      <w:r>
        <w:rPr>
          <w:rFonts w:hint="eastAsia" w:ascii="仿宋_GB2312" w:eastAsia="仿宋_GB2312"/>
          <w:sz w:val="32"/>
          <w:szCs w:val="32"/>
          <w:lang w:val="zh-CN"/>
        </w:rPr>
        <w:t>增加0.41万元，</w:t>
      </w:r>
      <w:r>
        <w:rPr>
          <w:rFonts w:hint="eastAsia" w:ascii="仿宋_GB2312" w:eastAsia="仿宋_GB2312"/>
          <w:sz w:val="32"/>
          <w:szCs w:val="32"/>
        </w:rPr>
        <w:t>增长93.18%,</w:t>
      </w:r>
      <w:r>
        <w:rPr>
          <w:rFonts w:hint="eastAsia" w:ascii="仿宋_GB2312" w:eastAsia="仿宋_GB2312"/>
          <w:sz w:val="32"/>
          <w:szCs w:val="32"/>
          <w:lang w:val="zh-CN"/>
        </w:rPr>
        <w:t>主要原因是：车辆老化，车辆维修维护及燃油费增加。其中：因公出国（境）费支出0.00万元，占0.00%，比上年增加0.00万元，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主要原因是：本年我单位无此经费；公务用车购置及运行维护费支出0.85万元，占100.00%，比上年增加0.41万元，</w:t>
      </w:r>
      <w:r>
        <w:rPr>
          <w:rFonts w:hint="eastAsia" w:ascii="仿宋_GB2312" w:eastAsia="仿宋_GB2312"/>
          <w:sz w:val="32"/>
          <w:szCs w:val="32"/>
        </w:rPr>
        <w:t>增长93.18%,</w:t>
      </w:r>
      <w:r>
        <w:rPr>
          <w:rFonts w:hint="eastAsia" w:ascii="仿宋_GB2312" w:eastAsia="仿宋_GB2312"/>
          <w:sz w:val="32"/>
          <w:szCs w:val="32"/>
          <w:lang w:val="zh-CN"/>
        </w:rPr>
        <w:t>主要原因是：车辆老化，车辆维修维护及燃油费增加；公务接待费支出0.00万元，占0.00%，比上年增加0.00万元，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2084210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7F3962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26D35D9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0.85万元，其中：公务用车购置费0.00万元，公务用车运行维护费0.85万元。公务用车运行维护费开支内容包括公务用车燃油费、车辆维修维护费、保险费、过路费等。公务用车购置数0辆，公务用车保有量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15BAF98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41043B7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预算数0.85万元，决算数0.85万元，预决算差异率0.00%，主要原因是：严格按预算执行，预决算对比无差异。其中：因公出国（境）费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预算数0.85万元，决算数0.85万元，预决算差异率0.00%，主要原因是：严格按预算执行，预决算对比无差异；公务接待费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5A6A0245">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4BBFD93">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B3A4F0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A7EE73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48D6F1E">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10EC84E4">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CB2D663">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2023年度木垒哈萨克自治县卫生监督所（行政单位和参照公务员法管理事业单位）机关运行经费支出3.57万元，比上年增加0.77万元，增长27.50%，主要原因是：办公费、取暖费、公务用车运行维护费等增加。</w:t>
      </w:r>
    </w:p>
    <w:p w14:paraId="53D774F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BAECD3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2023年度政府采购支出总额1.54万元，其中：政府采购货物支出0.57万元、政府采购工程支出0.00万元、政府采购服务支出0.97万元。</w:t>
      </w:r>
    </w:p>
    <w:p w14:paraId="4C02CA1C">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授予中小企业合同金额1.54万元，占政府采购支出总额的100.00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，其中：授予小微企业合同金额1.54万元，占政府采购支出总额的100.00</w:t>
      </w:r>
      <w:r>
        <w:rPr>
          <w:rFonts w:ascii="仿宋_GB2312" w:eastAsia="仿宋_GB2312"/>
          <w:sz w:val="32"/>
          <w:szCs w:val="32"/>
        </w:rPr>
        <w:t>%</w:t>
      </w:r>
      <w:r>
        <w:rPr>
          <w:rFonts w:hint="eastAsia" w:ascii="仿宋_GB2312" w:eastAsia="仿宋_GB2312"/>
          <w:sz w:val="32"/>
          <w:szCs w:val="32"/>
        </w:rPr>
        <w:t>。</w:t>
      </w:r>
    </w:p>
    <w:p w14:paraId="221070E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BC955B7">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160.70万元，房屋0.00平方米，价值0.00万元。车辆4辆，价值80.95万元，其中：副部（省）级及以上领导用车0辆、主要负责人用车0辆、机要通信用车0辆、应急保障用车0辆、执法执勤用车0辆、特种专业技术用车0辆、离退休干部服务用车0辆、其他用车4辆，其他用车主要是：单位业务用车；单价100万元（含）以上设备（不含车辆）0台（套）。</w:t>
      </w:r>
    </w:p>
    <w:p w14:paraId="25EA45F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78AF19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90.51</w:t>
      </w:r>
      <w:r>
        <w:rPr>
          <w:rFonts w:hint="eastAsia" w:ascii="仿宋_GB2312" w:eastAsia="仿宋_GB2312"/>
          <w:sz w:val="32"/>
          <w:szCs w:val="32"/>
        </w:rPr>
        <w:t>万元，实际执行总额</w:t>
      </w:r>
      <w:r>
        <w:rPr>
          <w:rFonts w:ascii="仿宋_GB2312" w:eastAsia="仿宋_GB2312"/>
          <w:sz w:val="32"/>
          <w:szCs w:val="32"/>
        </w:rPr>
        <w:t>90.51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预算绩效评价项目0个，全年预算数0.00万元，全年执行数0.00万元。预算绩效管理取得的成效：一是卫生执法监督员法律法规知晓；二是严厉打击非法行医活动。发现的问题及原因：一是</w:t>
      </w:r>
      <w:r>
        <w:rPr>
          <w:rFonts w:hint="eastAsia" w:ascii="仿宋_GB2312" w:hAnsi="宋体" w:eastAsia="仿宋_GB2312"/>
          <w:bCs/>
          <w:sz w:val="32"/>
          <w:szCs w:val="32"/>
        </w:rPr>
        <w:t>绩效监控政策宣传不到位</w:t>
      </w:r>
      <w:r>
        <w:rPr>
          <w:rFonts w:hint="eastAsia" w:ascii="仿宋_GB2312" w:eastAsia="仿宋_GB2312"/>
          <w:sz w:val="32"/>
          <w:szCs w:val="32"/>
        </w:rPr>
        <w:t>；二是</w:t>
      </w:r>
      <w:r>
        <w:rPr>
          <w:rFonts w:hint="eastAsia" w:ascii="仿宋_GB2312" w:hAnsi="宋体" w:eastAsia="仿宋_GB2312"/>
          <w:bCs/>
          <w:sz w:val="32"/>
          <w:szCs w:val="32"/>
        </w:rPr>
        <w:t>机构设置和队伍建设需要进一步推进</w:t>
      </w:r>
      <w:r>
        <w:rPr>
          <w:rFonts w:hint="eastAsia" w:ascii="仿宋_GB2312" w:eastAsia="仿宋_GB2312"/>
          <w:sz w:val="32"/>
          <w:szCs w:val="32"/>
        </w:rPr>
        <w:t>。下一步改进措施：一是</w:t>
      </w:r>
      <w:r>
        <w:rPr>
          <w:rFonts w:hint="eastAsia" w:ascii="仿宋_GB2312" w:hAnsi="宋体" w:eastAsia="仿宋_GB2312"/>
          <w:bCs/>
          <w:sz w:val="32"/>
          <w:szCs w:val="32"/>
        </w:rPr>
        <w:t>进一步加强机构设置和队伍建设</w:t>
      </w:r>
      <w:r>
        <w:rPr>
          <w:rFonts w:hint="eastAsia" w:ascii="仿宋_GB2312" w:eastAsia="仿宋_GB2312"/>
          <w:sz w:val="32"/>
          <w:szCs w:val="32"/>
        </w:rPr>
        <w:t>；二是</w:t>
      </w:r>
      <w:r>
        <w:rPr>
          <w:rFonts w:hint="eastAsia" w:ascii="仿宋_GB2312" w:hAnsi="宋体" w:eastAsia="仿宋_GB2312"/>
          <w:bCs/>
          <w:sz w:val="32"/>
          <w:szCs w:val="32"/>
        </w:rPr>
        <w:t>加大宣传力度，强化绩效理念</w:t>
      </w:r>
      <w:r>
        <w:rPr>
          <w:rFonts w:hint="eastAsia" w:ascii="仿宋_GB2312" w:eastAsia="仿宋_GB2312"/>
          <w:sz w:val="32"/>
          <w:szCs w:val="32"/>
        </w:rPr>
        <w:t>。具体项目自评情况附绩效自评表及自评报告。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6"/>
        <w:gridCol w:w="825"/>
        <w:gridCol w:w="1290"/>
        <w:gridCol w:w="1071"/>
        <w:gridCol w:w="1264"/>
        <w:gridCol w:w="853"/>
        <w:gridCol w:w="709"/>
        <w:gridCol w:w="617"/>
      </w:tblGrid>
      <w:tr w14:paraId="78C8A2B8">
        <w:tblPrEx>
          <w:tblCellMar>
            <w:top w:w="0" w:type="dxa"/>
            <w:left w:w="108" w:type="dxa"/>
            <w:bottom w:w="0" w:type="dxa"/>
            <w:right w:w="108" w:type="dxa"/>
          </w:tblCellMar>
        </w:tblPrEx>
        <w:trPr>
          <w:trHeight w:val="522"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BBB3A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2A52CC2">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41773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163C739">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5B2FE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5ED736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木垒县卫生监督所</w:t>
            </w:r>
          </w:p>
        </w:tc>
      </w:tr>
      <w:tr w14:paraId="672F6670">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DE78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825" w:type="dxa"/>
            <w:tcBorders>
              <w:top w:val="nil"/>
              <w:left w:val="nil"/>
              <w:bottom w:val="single" w:color="auto" w:sz="4" w:space="0"/>
              <w:right w:val="single" w:color="auto" w:sz="4" w:space="0"/>
            </w:tcBorders>
            <w:shd w:val="clear" w:color="auto" w:fill="auto"/>
            <w:vAlign w:val="center"/>
          </w:tcPr>
          <w:p w14:paraId="50D4BD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90" w:type="dxa"/>
            <w:tcBorders>
              <w:top w:val="nil"/>
              <w:left w:val="nil"/>
              <w:bottom w:val="single" w:color="auto" w:sz="4" w:space="0"/>
              <w:right w:val="single" w:color="auto" w:sz="4" w:space="0"/>
            </w:tcBorders>
            <w:shd w:val="clear" w:color="auto" w:fill="auto"/>
            <w:vAlign w:val="center"/>
          </w:tcPr>
          <w:p w14:paraId="0C7DA8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071" w:type="dxa"/>
            <w:tcBorders>
              <w:top w:val="nil"/>
              <w:left w:val="nil"/>
              <w:bottom w:val="single" w:color="auto" w:sz="4" w:space="0"/>
              <w:right w:val="single" w:color="auto" w:sz="4" w:space="0"/>
            </w:tcBorders>
            <w:shd w:val="clear" w:color="auto" w:fill="auto"/>
            <w:vAlign w:val="center"/>
          </w:tcPr>
          <w:p w14:paraId="4BC6A1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64" w:type="dxa"/>
            <w:tcBorders>
              <w:top w:val="nil"/>
              <w:left w:val="nil"/>
              <w:bottom w:val="single" w:color="auto" w:sz="4" w:space="0"/>
              <w:right w:val="single" w:color="auto" w:sz="4" w:space="0"/>
            </w:tcBorders>
            <w:shd w:val="clear" w:color="auto" w:fill="auto"/>
            <w:vAlign w:val="center"/>
          </w:tcPr>
          <w:p w14:paraId="1E3A32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53" w:type="dxa"/>
            <w:tcBorders>
              <w:top w:val="nil"/>
              <w:left w:val="nil"/>
              <w:bottom w:val="single" w:color="auto" w:sz="4" w:space="0"/>
              <w:right w:val="single" w:color="auto" w:sz="4" w:space="0"/>
            </w:tcBorders>
            <w:shd w:val="clear" w:color="auto" w:fill="auto"/>
            <w:vAlign w:val="center"/>
          </w:tcPr>
          <w:p w14:paraId="39B144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60AF0B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365147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6CE6E0B8">
        <w:tblPrEx>
          <w:tblCellMar>
            <w:top w:w="0" w:type="dxa"/>
            <w:left w:w="108" w:type="dxa"/>
            <w:bottom w:w="0" w:type="dxa"/>
            <w:right w:w="108" w:type="dxa"/>
          </w:tblCellMar>
        </w:tblPrEx>
        <w:trPr>
          <w:trHeight w:val="71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79B819">
            <w:pPr>
              <w:widowControl/>
              <w:jc w:val="left"/>
              <w:rPr>
                <w:rFonts w:hint="eastAsia" w:cs="宋体" w:asciiTheme="minorEastAsia" w:hAnsiTheme="minorEastAsia" w:eastAsiaTheme="minorEastAsia"/>
                <w:kern w:val="0"/>
                <w:sz w:val="20"/>
                <w:szCs w:val="20"/>
              </w:rPr>
            </w:pPr>
          </w:p>
        </w:tc>
        <w:tc>
          <w:tcPr>
            <w:tcW w:w="825" w:type="dxa"/>
            <w:tcBorders>
              <w:top w:val="nil"/>
              <w:left w:val="nil"/>
              <w:bottom w:val="single" w:color="auto" w:sz="4" w:space="0"/>
              <w:right w:val="single" w:color="auto" w:sz="4" w:space="0"/>
            </w:tcBorders>
            <w:shd w:val="clear" w:color="auto" w:fill="auto"/>
            <w:noWrap/>
            <w:vAlign w:val="center"/>
          </w:tcPr>
          <w:p w14:paraId="78984F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90" w:type="dxa"/>
            <w:tcBorders>
              <w:top w:val="nil"/>
              <w:left w:val="nil"/>
              <w:bottom w:val="single" w:color="auto" w:sz="4" w:space="0"/>
              <w:right w:val="single" w:color="auto" w:sz="4" w:space="0"/>
            </w:tcBorders>
            <w:shd w:val="clear" w:color="auto" w:fill="auto"/>
            <w:vAlign w:val="center"/>
          </w:tcPr>
          <w:p w14:paraId="063498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1" w:type="dxa"/>
            <w:tcBorders>
              <w:top w:val="nil"/>
              <w:left w:val="nil"/>
              <w:bottom w:val="single" w:color="auto" w:sz="4" w:space="0"/>
              <w:right w:val="single" w:color="auto" w:sz="4" w:space="0"/>
            </w:tcBorders>
            <w:shd w:val="clear" w:color="auto" w:fill="auto"/>
            <w:vAlign w:val="center"/>
          </w:tcPr>
          <w:p w14:paraId="2AD7CA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1.30</w:t>
            </w:r>
          </w:p>
        </w:tc>
        <w:tc>
          <w:tcPr>
            <w:tcW w:w="1264" w:type="dxa"/>
            <w:tcBorders>
              <w:top w:val="nil"/>
              <w:left w:val="nil"/>
              <w:bottom w:val="single" w:color="auto" w:sz="4" w:space="0"/>
              <w:right w:val="single" w:color="auto" w:sz="4" w:space="0"/>
            </w:tcBorders>
            <w:shd w:val="clear" w:color="auto" w:fill="auto"/>
            <w:vAlign w:val="center"/>
          </w:tcPr>
          <w:p w14:paraId="338E75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1.30</w:t>
            </w:r>
          </w:p>
        </w:tc>
        <w:tc>
          <w:tcPr>
            <w:tcW w:w="853" w:type="dxa"/>
            <w:tcBorders>
              <w:top w:val="nil"/>
              <w:left w:val="nil"/>
              <w:bottom w:val="single" w:color="auto" w:sz="4" w:space="0"/>
              <w:right w:val="single" w:color="auto" w:sz="4" w:space="0"/>
            </w:tcBorders>
            <w:shd w:val="clear" w:color="auto" w:fill="auto"/>
            <w:vAlign w:val="center"/>
          </w:tcPr>
          <w:p w14:paraId="7B4EBF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170E65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1E5639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4D42126">
        <w:tblPrEx>
          <w:tblCellMar>
            <w:top w:w="0" w:type="dxa"/>
            <w:left w:w="108" w:type="dxa"/>
            <w:bottom w:w="0" w:type="dxa"/>
            <w:right w:w="108" w:type="dxa"/>
          </w:tblCellMar>
        </w:tblPrEx>
        <w:trPr>
          <w:trHeight w:val="692"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047DAEB">
            <w:pPr>
              <w:widowControl/>
              <w:jc w:val="left"/>
              <w:rPr>
                <w:rFonts w:hint="eastAsia" w:cs="宋体" w:asciiTheme="minorEastAsia" w:hAnsiTheme="minorEastAsia" w:eastAsiaTheme="minorEastAsia"/>
                <w:kern w:val="0"/>
                <w:sz w:val="20"/>
                <w:szCs w:val="20"/>
              </w:rPr>
            </w:pPr>
          </w:p>
        </w:tc>
        <w:tc>
          <w:tcPr>
            <w:tcW w:w="825" w:type="dxa"/>
            <w:tcBorders>
              <w:top w:val="nil"/>
              <w:left w:val="nil"/>
              <w:bottom w:val="single" w:color="auto" w:sz="4" w:space="0"/>
              <w:right w:val="single" w:color="auto" w:sz="4" w:space="0"/>
            </w:tcBorders>
            <w:shd w:val="clear" w:color="auto" w:fill="auto"/>
            <w:vAlign w:val="center"/>
          </w:tcPr>
          <w:p w14:paraId="0FA64E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90" w:type="dxa"/>
            <w:tcBorders>
              <w:top w:val="nil"/>
              <w:left w:val="nil"/>
              <w:bottom w:val="single" w:color="auto" w:sz="4" w:space="0"/>
              <w:right w:val="single" w:color="auto" w:sz="4" w:space="0"/>
            </w:tcBorders>
            <w:shd w:val="clear" w:color="auto" w:fill="auto"/>
            <w:vAlign w:val="center"/>
          </w:tcPr>
          <w:p w14:paraId="7A27EC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1" w:type="dxa"/>
            <w:tcBorders>
              <w:top w:val="nil"/>
              <w:left w:val="nil"/>
              <w:bottom w:val="single" w:color="auto" w:sz="4" w:space="0"/>
              <w:right w:val="single" w:color="auto" w:sz="4" w:space="0"/>
            </w:tcBorders>
            <w:shd w:val="clear" w:color="auto" w:fill="auto"/>
            <w:vAlign w:val="center"/>
          </w:tcPr>
          <w:p w14:paraId="68A6C3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4" w:type="dxa"/>
            <w:tcBorders>
              <w:top w:val="nil"/>
              <w:left w:val="nil"/>
              <w:bottom w:val="single" w:color="auto" w:sz="4" w:space="0"/>
              <w:right w:val="single" w:color="auto" w:sz="4" w:space="0"/>
            </w:tcBorders>
            <w:shd w:val="clear" w:color="auto" w:fill="auto"/>
            <w:vAlign w:val="center"/>
          </w:tcPr>
          <w:p w14:paraId="609F6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3" w:type="dxa"/>
            <w:tcBorders>
              <w:top w:val="nil"/>
              <w:left w:val="nil"/>
              <w:bottom w:val="single" w:color="auto" w:sz="4" w:space="0"/>
              <w:right w:val="single" w:color="auto" w:sz="4" w:space="0"/>
            </w:tcBorders>
            <w:shd w:val="clear" w:color="auto" w:fill="auto"/>
            <w:vAlign w:val="center"/>
          </w:tcPr>
          <w:p w14:paraId="5DE9C6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6C7CEC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0F9B53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031C519">
        <w:tblPrEx>
          <w:tblCellMar>
            <w:top w:w="0" w:type="dxa"/>
            <w:left w:w="108" w:type="dxa"/>
            <w:bottom w:w="0" w:type="dxa"/>
            <w:right w:w="108" w:type="dxa"/>
          </w:tblCellMar>
        </w:tblPrEx>
        <w:trPr>
          <w:trHeight w:val="84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08832C">
            <w:pPr>
              <w:widowControl/>
              <w:jc w:val="left"/>
              <w:rPr>
                <w:rFonts w:hint="eastAsia" w:cs="宋体" w:asciiTheme="minorEastAsia" w:hAnsiTheme="minorEastAsia" w:eastAsiaTheme="minorEastAsia"/>
                <w:kern w:val="0"/>
                <w:sz w:val="20"/>
                <w:szCs w:val="20"/>
              </w:rPr>
            </w:pPr>
          </w:p>
        </w:tc>
        <w:tc>
          <w:tcPr>
            <w:tcW w:w="825" w:type="dxa"/>
            <w:tcBorders>
              <w:top w:val="nil"/>
              <w:left w:val="nil"/>
              <w:bottom w:val="single" w:color="auto" w:sz="4" w:space="0"/>
              <w:right w:val="single" w:color="auto" w:sz="4" w:space="0"/>
            </w:tcBorders>
            <w:shd w:val="clear" w:color="auto" w:fill="auto"/>
            <w:vAlign w:val="center"/>
          </w:tcPr>
          <w:p w14:paraId="069D1D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90" w:type="dxa"/>
            <w:tcBorders>
              <w:top w:val="nil"/>
              <w:left w:val="nil"/>
              <w:bottom w:val="single" w:color="auto" w:sz="4" w:space="0"/>
              <w:right w:val="single" w:color="auto" w:sz="4" w:space="0"/>
            </w:tcBorders>
            <w:shd w:val="clear" w:color="auto" w:fill="auto"/>
            <w:vAlign w:val="center"/>
          </w:tcPr>
          <w:p w14:paraId="547075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1" w:type="dxa"/>
            <w:tcBorders>
              <w:top w:val="nil"/>
              <w:left w:val="nil"/>
              <w:bottom w:val="single" w:color="auto" w:sz="4" w:space="0"/>
              <w:right w:val="single" w:color="auto" w:sz="4" w:space="0"/>
            </w:tcBorders>
            <w:shd w:val="clear" w:color="auto" w:fill="auto"/>
            <w:vAlign w:val="center"/>
          </w:tcPr>
          <w:p w14:paraId="7954F0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4" w:type="dxa"/>
            <w:tcBorders>
              <w:top w:val="nil"/>
              <w:left w:val="nil"/>
              <w:bottom w:val="single" w:color="auto" w:sz="4" w:space="0"/>
              <w:right w:val="single" w:color="auto" w:sz="4" w:space="0"/>
            </w:tcBorders>
            <w:shd w:val="clear" w:color="auto" w:fill="auto"/>
            <w:vAlign w:val="center"/>
          </w:tcPr>
          <w:p w14:paraId="4A88D6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3" w:type="dxa"/>
            <w:tcBorders>
              <w:top w:val="nil"/>
              <w:left w:val="nil"/>
              <w:bottom w:val="single" w:color="auto" w:sz="4" w:space="0"/>
              <w:right w:val="single" w:color="auto" w:sz="4" w:space="0"/>
            </w:tcBorders>
            <w:shd w:val="clear" w:color="auto" w:fill="auto"/>
            <w:vAlign w:val="center"/>
          </w:tcPr>
          <w:p w14:paraId="7E988D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3D8264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E62D2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8209503">
        <w:tblPrEx>
          <w:tblCellMar>
            <w:top w:w="0" w:type="dxa"/>
            <w:left w:w="108" w:type="dxa"/>
            <w:bottom w:w="0" w:type="dxa"/>
            <w:right w:w="108" w:type="dxa"/>
          </w:tblCellMar>
        </w:tblPrEx>
        <w:trPr>
          <w:trHeight w:val="87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63390E">
            <w:pPr>
              <w:widowControl/>
              <w:jc w:val="left"/>
              <w:rPr>
                <w:rFonts w:hint="eastAsia" w:cs="宋体" w:asciiTheme="minorEastAsia" w:hAnsiTheme="minorEastAsia" w:eastAsiaTheme="minorEastAsia"/>
                <w:kern w:val="0"/>
                <w:sz w:val="20"/>
                <w:szCs w:val="20"/>
              </w:rPr>
            </w:pPr>
          </w:p>
        </w:tc>
        <w:tc>
          <w:tcPr>
            <w:tcW w:w="825" w:type="dxa"/>
            <w:tcBorders>
              <w:top w:val="nil"/>
              <w:left w:val="nil"/>
              <w:bottom w:val="single" w:color="auto" w:sz="4" w:space="0"/>
              <w:right w:val="single" w:color="auto" w:sz="4" w:space="0"/>
            </w:tcBorders>
            <w:shd w:val="clear" w:color="auto" w:fill="auto"/>
            <w:vAlign w:val="center"/>
          </w:tcPr>
          <w:p w14:paraId="0990BA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90" w:type="dxa"/>
            <w:tcBorders>
              <w:top w:val="nil"/>
              <w:left w:val="nil"/>
              <w:bottom w:val="single" w:color="auto" w:sz="4" w:space="0"/>
              <w:right w:val="single" w:color="auto" w:sz="4" w:space="0"/>
            </w:tcBorders>
            <w:shd w:val="clear" w:color="auto" w:fill="auto"/>
            <w:vAlign w:val="center"/>
          </w:tcPr>
          <w:p w14:paraId="104741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87.44</w:t>
            </w:r>
          </w:p>
        </w:tc>
        <w:tc>
          <w:tcPr>
            <w:tcW w:w="1071" w:type="dxa"/>
            <w:tcBorders>
              <w:top w:val="nil"/>
              <w:left w:val="nil"/>
              <w:bottom w:val="single" w:color="auto" w:sz="4" w:space="0"/>
              <w:right w:val="single" w:color="auto" w:sz="4" w:space="0"/>
            </w:tcBorders>
            <w:shd w:val="clear" w:color="auto" w:fill="auto"/>
            <w:vAlign w:val="center"/>
          </w:tcPr>
          <w:p w14:paraId="1898B6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89.21</w:t>
            </w:r>
          </w:p>
        </w:tc>
        <w:tc>
          <w:tcPr>
            <w:tcW w:w="1264" w:type="dxa"/>
            <w:tcBorders>
              <w:top w:val="nil"/>
              <w:left w:val="nil"/>
              <w:bottom w:val="single" w:color="auto" w:sz="4" w:space="0"/>
              <w:right w:val="single" w:color="auto" w:sz="4" w:space="0"/>
            </w:tcBorders>
            <w:shd w:val="clear" w:color="auto" w:fill="auto"/>
            <w:vAlign w:val="center"/>
          </w:tcPr>
          <w:p w14:paraId="35916C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89.21</w:t>
            </w:r>
          </w:p>
        </w:tc>
        <w:tc>
          <w:tcPr>
            <w:tcW w:w="853" w:type="dxa"/>
            <w:tcBorders>
              <w:top w:val="nil"/>
              <w:left w:val="nil"/>
              <w:bottom w:val="single" w:color="auto" w:sz="4" w:space="0"/>
              <w:right w:val="single" w:color="auto" w:sz="4" w:space="0"/>
            </w:tcBorders>
            <w:shd w:val="clear" w:color="auto" w:fill="auto"/>
            <w:vAlign w:val="center"/>
          </w:tcPr>
          <w:p w14:paraId="270BDF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0D8D7F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0860E4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4BD3982">
        <w:tblPrEx>
          <w:tblCellMar>
            <w:top w:w="0" w:type="dxa"/>
            <w:left w:w="108" w:type="dxa"/>
            <w:bottom w:w="0" w:type="dxa"/>
            <w:right w:w="108" w:type="dxa"/>
          </w:tblCellMar>
        </w:tblPrEx>
        <w:trPr>
          <w:trHeight w:val="64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50144F1">
            <w:pPr>
              <w:widowControl/>
              <w:jc w:val="left"/>
              <w:rPr>
                <w:rFonts w:hint="eastAsia" w:cs="宋体" w:asciiTheme="minorEastAsia" w:hAnsiTheme="minorEastAsia" w:eastAsiaTheme="minorEastAsia"/>
                <w:kern w:val="0"/>
                <w:sz w:val="20"/>
                <w:szCs w:val="20"/>
              </w:rPr>
            </w:pPr>
          </w:p>
        </w:tc>
        <w:tc>
          <w:tcPr>
            <w:tcW w:w="825" w:type="dxa"/>
            <w:tcBorders>
              <w:top w:val="nil"/>
              <w:left w:val="nil"/>
              <w:bottom w:val="single" w:color="auto" w:sz="4" w:space="0"/>
              <w:right w:val="single" w:color="auto" w:sz="4" w:space="0"/>
            </w:tcBorders>
            <w:shd w:val="clear" w:color="auto" w:fill="auto"/>
            <w:vAlign w:val="center"/>
          </w:tcPr>
          <w:p w14:paraId="7CBEBB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90" w:type="dxa"/>
            <w:tcBorders>
              <w:top w:val="nil"/>
              <w:left w:val="nil"/>
              <w:bottom w:val="single" w:color="auto" w:sz="4" w:space="0"/>
              <w:right w:val="single" w:color="auto" w:sz="4" w:space="0"/>
            </w:tcBorders>
            <w:shd w:val="clear" w:color="auto" w:fill="auto"/>
            <w:vAlign w:val="center"/>
          </w:tcPr>
          <w:p w14:paraId="3C3A50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71" w:type="dxa"/>
            <w:tcBorders>
              <w:top w:val="nil"/>
              <w:left w:val="nil"/>
              <w:bottom w:val="single" w:color="auto" w:sz="4" w:space="0"/>
              <w:right w:val="single" w:color="auto" w:sz="4" w:space="0"/>
            </w:tcBorders>
            <w:shd w:val="clear" w:color="auto" w:fill="auto"/>
            <w:vAlign w:val="center"/>
          </w:tcPr>
          <w:p w14:paraId="2430F2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64" w:type="dxa"/>
            <w:tcBorders>
              <w:top w:val="nil"/>
              <w:left w:val="nil"/>
              <w:bottom w:val="single" w:color="auto" w:sz="4" w:space="0"/>
              <w:right w:val="single" w:color="auto" w:sz="4" w:space="0"/>
            </w:tcBorders>
            <w:shd w:val="clear" w:color="auto" w:fill="auto"/>
            <w:vAlign w:val="center"/>
          </w:tcPr>
          <w:p w14:paraId="04D360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3" w:type="dxa"/>
            <w:tcBorders>
              <w:top w:val="nil"/>
              <w:left w:val="nil"/>
              <w:bottom w:val="single" w:color="auto" w:sz="4" w:space="0"/>
              <w:right w:val="single" w:color="auto" w:sz="4" w:space="0"/>
            </w:tcBorders>
            <w:shd w:val="clear" w:color="auto" w:fill="auto"/>
            <w:vAlign w:val="center"/>
          </w:tcPr>
          <w:p w14:paraId="3C3960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003030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3BDD5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2D4DCB8">
        <w:tblPrEx>
          <w:tblCellMar>
            <w:top w:w="0" w:type="dxa"/>
            <w:left w:w="108" w:type="dxa"/>
            <w:bottom w:w="0" w:type="dxa"/>
            <w:right w:w="108" w:type="dxa"/>
          </w:tblCellMar>
        </w:tblPrEx>
        <w:trPr>
          <w:trHeight w:val="55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A53F888">
            <w:pPr>
              <w:widowControl/>
              <w:jc w:val="left"/>
              <w:rPr>
                <w:rFonts w:hint="eastAsia" w:cs="宋体" w:asciiTheme="minorEastAsia" w:hAnsiTheme="minorEastAsia" w:eastAsiaTheme="minorEastAsia"/>
                <w:kern w:val="0"/>
                <w:sz w:val="20"/>
                <w:szCs w:val="20"/>
              </w:rPr>
            </w:pPr>
          </w:p>
        </w:tc>
        <w:tc>
          <w:tcPr>
            <w:tcW w:w="825" w:type="dxa"/>
            <w:tcBorders>
              <w:top w:val="nil"/>
              <w:left w:val="nil"/>
              <w:bottom w:val="single" w:color="auto" w:sz="4" w:space="0"/>
              <w:right w:val="single" w:color="auto" w:sz="4" w:space="0"/>
            </w:tcBorders>
            <w:shd w:val="clear" w:color="auto" w:fill="auto"/>
            <w:vAlign w:val="center"/>
          </w:tcPr>
          <w:p w14:paraId="62725E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90" w:type="dxa"/>
            <w:tcBorders>
              <w:top w:val="nil"/>
              <w:left w:val="nil"/>
              <w:bottom w:val="single" w:color="auto" w:sz="4" w:space="0"/>
              <w:right w:val="single" w:color="auto" w:sz="4" w:space="0"/>
            </w:tcBorders>
            <w:shd w:val="clear" w:color="auto" w:fill="auto"/>
            <w:vAlign w:val="center"/>
          </w:tcPr>
          <w:p w14:paraId="589136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87.44</w:t>
            </w:r>
          </w:p>
        </w:tc>
        <w:tc>
          <w:tcPr>
            <w:tcW w:w="1071" w:type="dxa"/>
            <w:tcBorders>
              <w:top w:val="nil"/>
              <w:left w:val="nil"/>
              <w:bottom w:val="single" w:color="auto" w:sz="4" w:space="0"/>
              <w:right w:val="single" w:color="auto" w:sz="4" w:space="0"/>
            </w:tcBorders>
            <w:shd w:val="clear" w:color="auto" w:fill="auto"/>
            <w:vAlign w:val="center"/>
          </w:tcPr>
          <w:p w14:paraId="55F066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90.51</w:t>
            </w:r>
          </w:p>
        </w:tc>
        <w:tc>
          <w:tcPr>
            <w:tcW w:w="1264" w:type="dxa"/>
            <w:tcBorders>
              <w:top w:val="nil"/>
              <w:left w:val="nil"/>
              <w:bottom w:val="single" w:color="auto" w:sz="4" w:space="0"/>
              <w:right w:val="single" w:color="auto" w:sz="4" w:space="0"/>
            </w:tcBorders>
            <w:shd w:val="clear" w:color="auto" w:fill="auto"/>
            <w:vAlign w:val="center"/>
          </w:tcPr>
          <w:p w14:paraId="029881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90.51</w:t>
            </w:r>
          </w:p>
        </w:tc>
        <w:tc>
          <w:tcPr>
            <w:tcW w:w="853" w:type="dxa"/>
            <w:tcBorders>
              <w:top w:val="nil"/>
              <w:left w:val="nil"/>
              <w:bottom w:val="single" w:color="auto" w:sz="4" w:space="0"/>
              <w:right w:val="single" w:color="auto" w:sz="4" w:space="0"/>
            </w:tcBorders>
            <w:shd w:val="clear" w:color="auto" w:fill="auto"/>
            <w:vAlign w:val="center"/>
          </w:tcPr>
          <w:p w14:paraId="2FA29A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0C132F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71C46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7336D92">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246C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186" w:type="dxa"/>
            <w:gridSpan w:val="3"/>
            <w:tcBorders>
              <w:top w:val="single" w:color="auto" w:sz="4" w:space="0"/>
              <w:left w:val="nil"/>
              <w:bottom w:val="single" w:color="auto" w:sz="4" w:space="0"/>
              <w:right w:val="single" w:color="auto" w:sz="4" w:space="0"/>
            </w:tcBorders>
            <w:shd w:val="clear" w:color="auto" w:fill="auto"/>
            <w:noWrap/>
            <w:vAlign w:val="center"/>
          </w:tcPr>
          <w:p w14:paraId="6F5661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43" w:type="dxa"/>
            <w:gridSpan w:val="4"/>
            <w:tcBorders>
              <w:top w:val="single" w:color="auto" w:sz="4" w:space="0"/>
              <w:left w:val="nil"/>
              <w:bottom w:val="single" w:color="auto" w:sz="4" w:space="0"/>
              <w:right w:val="single" w:color="auto" w:sz="4" w:space="0"/>
            </w:tcBorders>
            <w:shd w:val="clear" w:color="auto" w:fill="auto"/>
            <w:noWrap/>
            <w:vAlign w:val="center"/>
          </w:tcPr>
          <w:p w14:paraId="5FEECC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3FD0EF33">
        <w:tblPrEx>
          <w:tblCellMar>
            <w:top w:w="0" w:type="dxa"/>
            <w:left w:w="108" w:type="dxa"/>
            <w:bottom w:w="0" w:type="dxa"/>
            <w:right w:w="108" w:type="dxa"/>
          </w:tblCellMar>
        </w:tblPrEx>
        <w:trPr>
          <w:trHeight w:val="200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FF7479">
            <w:pPr>
              <w:widowControl/>
              <w:jc w:val="left"/>
              <w:rPr>
                <w:rFonts w:hint="eastAsia" w:cs="宋体" w:asciiTheme="minorEastAsia" w:hAnsiTheme="minorEastAsia" w:eastAsiaTheme="minorEastAsia"/>
                <w:kern w:val="0"/>
                <w:sz w:val="20"/>
                <w:szCs w:val="20"/>
              </w:rPr>
            </w:pPr>
          </w:p>
        </w:tc>
        <w:tc>
          <w:tcPr>
            <w:tcW w:w="3186" w:type="dxa"/>
            <w:gridSpan w:val="3"/>
            <w:tcBorders>
              <w:top w:val="single" w:color="auto" w:sz="4" w:space="0"/>
              <w:left w:val="nil"/>
              <w:bottom w:val="single" w:color="auto" w:sz="4" w:space="0"/>
              <w:right w:val="single" w:color="auto" w:sz="4" w:space="0"/>
            </w:tcBorders>
            <w:shd w:val="clear" w:color="auto" w:fill="auto"/>
            <w:vAlign w:val="center"/>
          </w:tcPr>
          <w:p w14:paraId="752418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目标1、监督检查乡镇卫生院10家，民营机构25家，加油加气站25家，宾馆26家，水厂8家，初中、小学及幼儿园共25家，发放监督意见书119份，进一步规范了公共场所、医疗单位、企业健康档案规范化电子建档率。    </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目标2、为辖区内公共场所、医疗单位、企业提供14项基本公共卫生服务，进一步提医疗单位卫生健康水平逐渐提高，实际逐步提高。</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目标3：积极落实应对人口老龄化政策措施，建立和完善老年健康服务体系。</w:t>
            </w:r>
          </w:p>
        </w:tc>
        <w:tc>
          <w:tcPr>
            <w:tcW w:w="3443" w:type="dxa"/>
            <w:gridSpan w:val="4"/>
            <w:tcBorders>
              <w:top w:val="single" w:color="auto" w:sz="4" w:space="0"/>
              <w:left w:val="nil"/>
              <w:bottom w:val="single" w:color="auto" w:sz="4" w:space="0"/>
              <w:right w:val="single" w:color="auto" w:sz="4" w:space="0"/>
            </w:tcBorders>
            <w:shd w:val="clear" w:color="auto" w:fill="auto"/>
            <w:vAlign w:val="center"/>
          </w:tcPr>
          <w:p w14:paraId="04BF73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作：保障办公人员数量5人，监督检查乡镇卫生院10家，民营机构25家，加油加气站25家，宾馆26家，水厂8家，初中、小学及幼儿园共25家，发放监督意见书119份，进一步规范了公共场所、医疗单位、企业健康档案规范化电子建档率。为辖区内公共场所、医疗单位、企业提供14项基本公共卫生服务，进一步提医疗单位卫生健康水平逐渐提高，实际逐步提高。积极落实应对人口老龄化政策措施，建立和完善老年健康服务体系。</w:t>
            </w:r>
          </w:p>
        </w:tc>
      </w:tr>
      <w:tr w14:paraId="25B832BF">
        <w:tblPrEx>
          <w:tblCellMar>
            <w:top w:w="0" w:type="dxa"/>
            <w:left w:w="108" w:type="dxa"/>
            <w:bottom w:w="0" w:type="dxa"/>
            <w:right w:w="108" w:type="dxa"/>
          </w:tblCellMar>
        </w:tblPrEx>
        <w:trPr>
          <w:trHeight w:val="579"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D7545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825" w:type="dxa"/>
            <w:tcBorders>
              <w:top w:val="nil"/>
              <w:left w:val="nil"/>
              <w:bottom w:val="single" w:color="auto" w:sz="4" w:space="0"/>
              <w:right w:val="single" w:color="auto" w:sz="4" w:space="0"/>
            </w:tcBorders>
            <w:shd w:val="clear" w:color="auto" w:fill="auto"/>
            <w:vAlign w:val="center"/>
          </w:tcPr>
          <w:p w14:paraId="270788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90" w:type="dxa"/>
            <w:tcBorders>
              <w:top w:val="nil"/>
              <w:left w:val="nil"/>
              <w:bottom w:val="single" w:color="auto" w:sz="4" w:space="0"/>
              <w:right w:val="single" w:color="auto" w:sz="4" w:space="0"/>
            </w:tcBorders>
            <w:shd w:val="clear" w:color="auto" w:fill="auto"/>
            <w:vAlign w:val="center"/>
          </w:tcPr>
          <w:p w14:paraId="67108C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071" w:type="dxa"/>
            <w:tcBorders>
              <w:top w:val="nil"/>
              <w:left w:val="nil"/>
              <w:bottom w:val="single" w:color="auto" w:sz="4" w:space="0"/>
              <w:right w:val="single" w:color="auto" w:sz="4" w:space="0"/>
            </w:tcBorders>
            <w:shd w:val="clear" w:color="auto" w:fill="auto"/>
            <w:vAlign w:val="center"/>
          </w:tcPr>
          <w:p w14:paraId="00E753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64" w:type="dxa"/>
            <w:tcBorders>
              <w:top w:val="nil"/>
              <w:left w:val="nil"/>
              <w:bottom w:val="single" w:color="auto" w:sz="4" w:space="0"/>
              <w:right w:val="single" w:color="auto" w:sz="4" w:space="0"/>
            </w:tcBorders>
            <w:shd w:val="clear" w:color="auto" w:fill="auto"/>
            <w:vAlign w:val="center"/>
          </w:tcPr>
          <w:p w14:paraId="4577D6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53" w:type="dxa"/>
            <w:tcBorders>
              <w:top w:val="nil"/>
              <w:left w:val="nil"/>
              <w:bottom w:val="single" w:color="auto" w:sz="4" w:space="0"/>
              <w:right w:val="single" w:color="auto" w:sz="4" w:space="0"/>
            </w:tcBorders>
            <w:shd w:val="clear" w:color="auto" w:fill="auto"/>
            <w:vAlign w:val="center"/>
          </w:tcPr>
          <w:p w14:paraId="217F54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2CD38E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4B054F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C6FC794">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7F99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25" w:type="dxa"/>
            <w:tcBorders>
              <w:top w:val="nil"/>
              <w:left w:val="nil"/>
              <w:bottom w:val="single" w:color="auto" w:sz="4" w:space="0"/>
              <w:right w:val="single" w:color="auto" w:sz="4" w:space="0"/>
            </w:tcBorders>
            <w:shd w:val="clear" w:color="auto" w:fill="auto"/>
            <w:vAlign w:val="center"/>
          </w:tcPr>
          <w:p w14:paraId="083E69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0" w:type="dxa"/>
            <w:tcBorders>
              <w:top w:val="nil"/>
              <w:left w:val="nil"/>
              <w:bottom w:val="single" w:color="auto" w:sz="4" w:space="0"/>
              <w:right w:val="single" w:color="auto" w:sz="4" w:space="0"/>
            </w:tcBorders>
            <w:shd w:val="clear" w:color="auto" w:fill="auto"/>
            <w:vAlign w:val="center"/>
          </w:tcPr>
          <w:p w14:paraId="5D71D3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071" w:type="dxa"/>
            <w:tcBorders>
              <w:top w:val="nil"/>
              <w:left w:val="nil"/>
              <w:bottom w:val="single" w:color="auto" w:sz="4" w:space="0"/>
              <w:right w:val="single" w:color="auto" w:sz="4" w:space="0"/>
            </w:tcBorders>
            <w:shd w:val="clear" w:color="auto" w:fill="auto"/>
            <w:vAlign w:val="center"/>
          </w:tcPr>
          <w:p w14:paraId="72BB92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&gt;=5人</w:t>
            </w:r>
          </w:p>
        </w:tc>
        <w:tc>
          <w:tcPr>
            <w:tcW w:w="1264" w:type="dxa"/>
            <w:tcBorders>
              <w:top w:val="nil"/>
              <w:left w:val="nil"/>
              <w:bottom w:val="single" w:color="auto" w:sz="4" w:space="0"/>
              <w:right w:val="single" w:color="auto" w:sz="4" w:space="0"/>
            </w:tcBorders>
            <w:shd w:val="clear" w:color="auto" w:fill="auto"/>
            <w:vAlign w:val="center"/>
          </w:tcPr>
          <w:p w14:paraId="20EBBD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关于成立自治县卫生局卫生监督所的通知</w:t>
            </w:r>
          </w:p>
        </w:tc>
        <w:tc>
          <w:tcPr>
            <w:tcW w:w="853" w:type="dxa"/>
            <w:tcBorders>
              <w:top w:val="nil"/>
              <w:left w:val="nil"/>
              <w:bottom w:val="single" w:color="auto" w:sz="4" w:space="0"/>
              <w:right w:val="single" w:color="auto" w:sz="4" w:space="0"/>
            </w:tcBorders>
            <w:shd w:val="clear" w:color="auto" w:fill="auto"/>
            <w:vAlign w:val="center"/>
          </w:tcPr>
          <w:p w14:paraId="0EE1FE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0EEF05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5人</w:t>
            </w:r>
          </w:p>
        </w:tc>
        <w:tc>
          <w:tcPr>
            <w:tcW w:w="617" w:type="dxa"/>
            <w:tcBorders>
              <w:top w:val="nil"/>
              <w:left w:val="nil"/>
              <w:bottom w:val="single" w:color="auto" w:sz="4" w:space="0"/>
              <w:right w:val="single" w:color="auto" w:sz="4" w:space="0"/>
            </w:tcBorders>
            <w:shd w:val="clear" w:color="auto" w:fill="auto"/>
            <w:vAlign w:val="center"/>
          </w:tcPr>
          <w:p w14:paraId="02ACDB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8F16031">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7484F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25" w:type="dxa"/>
            <w:tcBorders>
              <w:top w:val="nil"/>
              <w:left w:val="nil"/>
              <w:bottom w:val="single" w:color="auto" w:sz="4" w:space="0"/>
              <w:right w:val="single" w:color="auto" w:sz="4" w:space="0"/>
            </w:tcBorders>
            <w:shd w:val="clear" w:color="auto" w:fill="auto"/>
            <w:vAlign w:val="center"/>
          </w:tcPr>
          <w:p w14:paraId="1C1772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0" w:type="dxa"/>
            <w:tcBorders>
              <w:top w:val="nil"/>
              <w:left w:val="nil"/>
              <w:bottom w:val="single" w:color="auto" w:sz="4" w:space="0"/>
              <w:right w:val="single" w:color="auto" w:sz="4" w:space="0"/>
            </w:tcBorders>
            <w:shd w:val="clear" w:color="auto" w:fill="auto"/>
            <w:vAlign w:val="center"/>
          </w:tcPr>
          <w:p w14:paraId="4A971C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卫生执法监督员法律法规知晓率</w:t>
            </w:r>
          </w:p>
        </w:tc>
        <w:tc>
          <w:tcPr>
            <w:tcW w:w="1071" w:type="dxa"/>
            <w:tcBorders>
              <w:top w:val="nil"/>
              <w:left w:val="nil"/>
              <w:bottom w:val="single" w:color="auto" w:sz="4" w:space="0"/>
              <w:right w:val="single" w:color="auto" w:sz="4" w:space="0"/>
            </w:tcBorders>
            <w:shd w:val="clear" w:color="auto" w:fill="auto"/>
            <w:vAlign w:val="center"/>
          </w:tcPr>
          <w:p w14:paraId="223424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64" w:type="dxa"/>
            <w:tcBorders>
              <w:top w:val="nil"/>
              <w:left w:val="nil"/>
              <w:bottom w:val="single" w:color="auto" w:sz="4" w:space="0"/>
              <w:right w:val="single" w:color="auto" w:sz="4" w:space="0"/>
            </w:tcBorders>
            <w:shd w:val="clear" w:color="auto" w:fill="auto"/>
            <w:vAlign w:val="center"/>
          </w:tcPr>
          <w:p w14:paraId="455B46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vAlign w:val="center"/>
          </w:tcPr>
          <w:p w14:paraId="59A308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5E993ED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380D7F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3C46B08">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0421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25" w:type="dxa"/>
            <w:vMerge w:val="restart"/>
            <w:tcBorders>
              <w:top w:val="nil"/>
              <w:left w:val="single" w:color="auto" w:sz="4" w:space="0"/>
              <w:bottom w:val="single" w:color="auto" w:sz="4" w:space="0"/>
              <w:right w:val="single" w:color="auto" w:sz="4" w:space="0"/>
            </w:tcBorders>
            <w:shd w:val="clear" w:color="auto" w:fill="auto"/>
            <w:vAlign w:val="center"/>
          </w:tcPr>
          <w:p w14:paraId="3C8137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290" w:type="dxa"/>
            <w:tcBorders>
              <w:top w:val="nil"/>
              <w:left w:val="nil"/>
              <w:bottom w:val="single" w:color="auto" w:sz="4" w:space="0"/>
              <w:right w:val="single" w:color="auto" w:sz="4" w:space="0"/>
            </w:tcBorders>
            <w:shd w:val="clear" w:color="auto" w:fill="auto"/>
            <w:vAlign w:val="center"/>
          </w:tcPr>
          <w:p w14:paraId="442E37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日常性监督检查各类医疗机构数量</w:t>
            </w:r>
          </w:p>
        </w:tc>
        <w:tc>
          <w:tcPr>
            <w:tcW w:w="1071" w:type="dxa"/>
            <w:tcBorders>
              <w:top w:val="nil"/>
              <w:left w:val="nil"/>
              <w:bottom w:val="single" w:color="auto" w:sz="4" w:space="0"/>
              <w:right w:val="single" w:color="auto" w:sz="4" w:space="0"/>
            </w:tcBorders>
            <w:shd w:val="clear" w:color="auto" w:fill="auto"/>
            <w:vAlign w:val="center"/>
          </w:tcPr>
          <w:p w14:paraId="3C15E8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&gt;=28家</w:t>
            </w:r>
          </w:p>
        </w:tc>
        <w:tc>
          <w:tcPr>
            <w:tcW w:w="1264" w:type="dxa"/>
            <w:tcBorders>
              <w:top w:val="nil"/>
              <w:left w:val="nil"/>
              <w:bottom w:val="single" w:color="auto" w:sz="4" w:space="0"/>
              <w:right w:val="single" w:color="auto" w:sz="4" w:space="0"/>
            </w:tcBorders>
            <w:shd w:val="clear" w:color="auto" w:fill="auto"/>
            <w:vAlign w:val="center"/>
          </w:tcPr>
          <w:p w14:paraId="2F7CAD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vAlign w:val="center"/>
          </w:tcPr>
          <w:p w14:paraId="5D1073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5B2DE4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28家</w:t>
            </w:r>
          </w:p>
        </w:tc>
        <w:tc>
          <w:tcPr>
            <w:tcW w:w="617" w:type="dxa"/>
            <w:tcBorders>
              <w:top w:val="nil"/>
              <w:left w:val="nil"/>
              <w:bottom w:val="single" w:color="auto" w:sz="4" w:space="0"/>
              <w:right w:val="single" w:color="auto" w:sz="4" w:space="0"/>
            </w:tcBorders>
            <w:shd w:val="clear" w:color="auto" w:fill="auto"/>
            <w:vAlign w:val="center"/>
          </w:tcPr>
          <w:p w14:paraId="0AA7D5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67D7161">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4AF364">
            <w:pPr>
              <w:widowControl/>
              <w:jc w:val="center"/>
              <w:rPr>
                <w:rFonts w:hint="eastAsia" w:cs="宋体" w:asciiTheme="minorEastAsia" w:hAnsiTheme="minorEastAsia" w:eastAsiaTheme="minorEastAsia"/>
                <w:kern w:val="0"/>
                <w:sz w:val="20"/>
                <w:szCs w:val="20"/>
              </w:rPr>
            </w:pPr>
          </w:p>
        </w:tc>
        <w:tc>
          <w:tcPr>
            <w:tcW w:w="825" w:type="dxa"/>
            <w:vMerge w:val="continue"/>
            <w:tcBorders>
              <w:top w:val="nil"/>
              <w:left w:val="single" w:color="auto" w:sz="4" w:space="0"/>
              <w:bottom w:val="single" w:color="auto" w:sz="4" w:space="0"/>
              <w:right w:val="single" w:color="auto" w:sz="4" w:space="0"/>
            </w:tcBorders>
            <w:vAlign w:val="center"/>
          </w:tcPr>
          <w:p w14:paraId="336802DE">
            <w:pPr>
              <w:widowControl/>
              <w:jc w:val="center"/>
              <w:rPr>
                <w:rFonts w:hint="eastAsia" w:cs="宋体" w:asciiTheme="minorEastAsia" w:hAnsiTheme="minorEastAsia" w:eastAsiaTheme="minorEastAsia"/>
                <w:kern w:val="0"/>
                <w:sz w:val="20"/>
                <w:szCs w:val="20"/>
              </w:rPr>
            </w:pPr>
          </w:p>
        </w:tc>
        <w:tc>
          <w:tcPr>
            <w:tcW w:w="1290" w:type="dxa"/>
            <w:tcBorders>
              <w:top w:val="nil"/>
              <w:left w:val="nil"/>
              <w:bottom w:val="single" w:color="auto" w:sz="4" w:space="0"/>
              <w:right w:val="single" w:color="auto" w:sz="4" w:space="0"/>
            </w:tcBorders>
            <w:shd w:val="clear" w:color="auto" w:fill="auto"/>
            <w:vAlign w:val="center"/>
          </w:tcPr>
          <w:p w14:paraId="3842D9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严厉打击非法行医活动数量</w:t>
            </w:r>
          </w:p>
        </w:tc>
        <w:tc>
          <w:tcPr>
            <w:tcW w:w="1071" w:type="dxa"/>
            <w:tcBorders>
              <w:top w:val="nil"/>
              <w:left w:val="nil"/>
              <w:bottom w:val="single" w:color="auto" w:sz="4" w:space="0"/>
              <w:right w:val="single" w:color="auto" w:sz="4" w:space="0"/>
            </w:tcBorders>
            <w:shd w:val="clear" w:color="auto" w:fill="auto"/>
            <w:vAlign w:val="center"/>
          </w:tcPr>
          <w:p w14:paraId="77A60E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&gt;=3家</w:t>
            </w:r>
          </w:p>
        </w:tc>
        <w:tc>
          <w:tcPr>
            <w:tcW w:w="1264" w:type="dxa"/>
            <w:tcBorders>
              <w:top w:val="nil"/>
              <w:left w:val="nil"/>
              <w:bottom w:val="single" w:color="auto" w:sz="4" w:space="0"/>
              <w:right w:val="single" w:color="auto" w:sz="4" w:space="0"/>
            </w:tcBorders>
            <w:shd w:val="clear" w:color="auto" w:fill="auto"/>
            <w:vAlign w:val="center"/>
          </w:tcPr>
          <w:p w14:paraId="3887AA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vAlign w:val="center"/>
          </w:tcPr>
          <w:p w14:paraId="47A02F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674DAF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3家</w:t>
            </w:r>
          </w:p>
        </w:tc>
        <w:tc>
          <w:tcPr>
            <w:tcW w:w="617" w:type="dxa"/>
            <w:tcBorders>
              <w:top w:val="nil"/>
              <w:left w:val="nil"/>
              <w:bottom w:val="single" w:color="auto" w:sz="4" w:space="0"/>
              <w:right w:val="single" w:color="auto" w:sz="4" w:space="0"/>
            </w:tcBorders>
            <w:shd w:val="clear" w:color="auto" w:fill="auto"/>
            <w:vAlign w:val="center"/>
          </w:tcPr>
          <w:p w14:paraId="2A5F56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FD0E7DA">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57367B0">
            <w:pPr>
              <w:widowControl/>
              <w:jc w:val="center"/>
              <w:rPr>
                <w:rFonts w:hint="eastAsia" w:cs="宋体" w:asciiTheme="minorEastAsia" w:hAnsiTheme="minorEastAsia" w:eastAsiaTheme="minorEastAsia"/>
                <w:kern w:val="0"/>
                <w:sz w:val="20"/>
                <w:szCs w:val="20"/>
              </w:rPr>
            </w:pPr>
          </w:p>
        </w:tc>
        <w:tc>
          <w:tcPr>
            <w:tcW w:w="825" w:type="dxa"/>
            <w:vMerge w:val="continue"/>
            <w:tcBorders>
              <w:top w:val="nil"/>
              <w:left w:val="single" w:color="auto" w:sz="4" w:space="0"/>
              <w:bottom w:val="single" w:color="auto" w:sz="4" w:space="0"/>
              <w:right w:val="single" w:color="auto" w:sz="4" w:space="0"/>
            </w:tcBorders>
            <w:vAlign w:val="center"/>
          </w:tcPr>
          <w:p w14:paraId="275D8F6C">
            <w:pPr>
              <w:widowControl/>
              <w:jc w:val="center"/>
              <w:rPr>
                <w:rFonts w:hint="eastAsia" w:cs="宋体" w:asciiTheme="minorEastAsia" w:hAnsiTheme="minorEastAsia" w:eastAsiaTheme="minorEastAsia"/>
                <w:kern w:val="0"/>
                <w:sz w:val="20"/>
                <w:szCs w:val="20"/>
              </w:rPr>
            </w:pPr>
          </w:p>
        </w:tc>
        <w:tc>
          <w:tcPr>
            <w:tcW w:w="1290" w:type="dxa"/>
            <w:tcBorders>
              <w:top w:val="nil"/>
              <w:left w:val="nil"/>
              <w:bottom w:val="single" w:color="auto" w:sz="4" w:space="0"/>
              <w:right w:val="single" w:color="auto" w:sz="4" w:space="0"/>
            </w:tcBorders>
            <w:shd w:val="clear" w:color="auto" w:fill="auto"/>
            <w:vAlign w:val="center"/>
          </w:tcPr>
          <w:p w14:paraId="4B53FC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医疗卫生监督检查工作次数</w:t>
            </w:r>
          </w:p>
        </w:tc>
        <w:tc>
          <w:tcPr>
            <w:tcW w:w="1071" w:type="dxa"/>
            <w:tcBorders>
              <w:top w:val="nil"/>
              <w:left w:val="nil"/>
              <w:bottom w:val="single" w:color="auto" w:sz="4" w:space="0"/>
              <w:right w:val="single" w:color="auto" w:sz="4" w:space="0"/>
            </w:tcBorders>
            <w:shd w:val="clear" w:color="auto" w:fill="auto"/>
            <w:vAlign w:val="center"/>
          </w:tcPr>
          <w:p w14:paraId="7016F5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&gt;=50次</w:t>
            </w:r>
          </w:p>
        </w:tc>
        <w:tc>
          <w:tcPr>
            <w:tcW w:w="1264" w:type="dxa"/>
            <w:tcBorders>
              <w:top w:val="nil"/>
              <w:left w:val="nil"/>
              <w:bottom w:val="single" w:color="auto" w:sz="4" w:space="0"/>
              <w:right w:val="single" w:color="auto" w:sz="4" w:space="0"/>
            </w:tcBorders>
            <w:shd w:val="clear" w:color="auto" w:fill="auto"/>
            <w:vAlign w:val="center"/>
          </w:tcPr>
          <w:p w14:paraId="3BCCA1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vAlign w:val="center"/>
          </w:tcPr>
          <w:p w14:paraId="346422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007C08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50次</w:t>
            </w:r>
          </w:p>
        </w:tc>
        <w:tc>
          <w:tcPr>
            <w:tcW w:w="617" w:type="dxa"/>
            <w:tcBorders>
              <w:top w:val="nil"/>
              <w:left w:val="nil"/>
              <w:bottom w:val="single" w:color="auto" w:sz="4" w:space="0"/>
              <w:right w:val="single" w:color="auto" w:sz="4" w:space="0"/>
            </w:tcBorders>
            <w:shd w:val="clear" w:color="auto" w:fill="auto"/>
            <w:vAlign w:val="center"/>
          </w:tcPr>
          <w:p w14:paraId="31694D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24E87A6">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5B5C10">
            <w:pPr>
              <w:widowControl/>
              <w:jc w:val="center"/>
              <w:rPr>
                <w:rFonts w:hint="eastAsia" w:cs="宋体" w:asciiTheme="minorEastAsia" w:hAnsiTheme="minorEastAsia" w:eastAsiaTheme="minorEastAsia"/>
                <w:kern w:val="0"/>
                <w:sz w:val="20"/>
                <w:szCs w:val="20"/>
              </w:rPr>
            </w:pPr>
          </w:p>
        </w:tc>
        <w:tc>
          <w:tcPr>
            <w:tcW w:w="825" w:type="dxa"/>
            <w:vMerge w:val="restart"/>
            <w:tcBorders>
              <w:top w:val="nil"/>
              <w:left w:val="single" w:color="auto" w:sz="4" w:space="0"/>
              <w:bottom w:val="single" w:color="auto" w:sz="4" w:space="0"/>
              <w:right w:val="single" w:color="auto" w:sz="4" w:space="0"/>
            </w:tcBorders>
            <w:shd w:val="clear" w:color="auto" w:fill="auto"/>
            <w:vAlign w:val="center"/>
          </w:tcPr>
          <w:p w14:paraId="57E7CD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290" w:type="dxa"/>
            <w:tcBorders>
              <w:top w:val="nil"/>
              <w:left w:val="nil"/>
              <w:bottom w:val="single" w:color="auto" w:sz="4" w:space="0"/>
              <w:right w:val="single" w:color="auto" w:sz="4" w:space="0"/>
            </w:tcBorders>
            <w:shd w:val="clear" w:color="auto" w:fill="auto"/>
            <w:vAlign w:val="center"/>
          </w:tcPr>
          <w:p w14:paraId="72BFED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医疗废物及医疗污水处理专项整治覆盖率</w:t>
            </w:r>
          </w:p>
        </w:tc>
        <w:tc>
          <w:tcPr>
            <w:tcW w:w="1071" w:type="dxa"/>
            <w:tcBorders>
              <w:top w:val="nil"/>
              <w:left w:val="nil"/>
              <w:bottom w:val="single" w:color="auto" w:sz="4" w:space="0"/>
              <w:right w:val="single" w:color="auto" w:sz="4" w:space="0"/>
            </w:tcBorders>
            <w:shd w:val="clear" w:color="auto" w:fill="auto"/>
            <w:vAlign w:val="center"/>
          </w:tcPr>
          <w:p w14:paraId="47F865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64" w:type="dxa"/>
            <w:tcBorders>
              <w:top w:val="nil"/>
              <w:left w:val="nil"/>
              <w:bottom w:val="single" w:color="auto" w:sz="4" w:space="0"/>
              <w:right w:val="single" w:color="auto" w:sz="4" w:space="0"/>
            </w:tcBorders>
            <w:shd w:val="clear" w:color="auto" w:fill="auto"/>
            <w:vAlign w:val="center"/>
          </w:tcPr>
          <w:p w14:paraId="1F6166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vAlign w:val="center"/>
          </w:tcPr>
          <w:p w14:paraId="769E8A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3B387F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017D63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9F65D43">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B6CA8A">
            <w:pPr>
              <w:widowControl/>
              <w:jc w:val="center"/>
              <w:rPr>
                <w:rFonts w:hint="eastAsia" w:cs="宋体" w:asciiTheme="minorEastAsia" w:hAnsiTheme="minorEastAsia" w:eastAsiaTheme="minorEastAsia"/>
                <w:kern w:val="0"/>
                <w:sz w:val="20"/>
                <w:szCs w:val="20"/>
              </w:rPr>
            </w:pPr>
          </w:p>
        </w:tc>
        <w:tc>
          <w:tcPr>
            <w:tcW w:w="825" w:type="dxa"/>
            <w:vMerge w:val="continue"/>
            <w:tcBorders>
              <w:top w:val="nil"/>
              <w:left w:val="single" w:color="auto" w:sz="4" w:space="0"/>
              <w:bottom w:val="single" w:color="auto" w:sz="4" w:space="0"/>
              <w:right w:val="single" w:color="auto" w:sz="4" w:space="0"/>
            </w:tcBorders>
            <w:vAlign w:val="center"/>
          </w:tcPr>
          <w:p w14:paraId="5484F044">
            <w:pPr>
              <w:widowControl/>
              <w:jc w:val="center"/>
              <w:rPr>
                <w:rFonts w:hint="eastAsia" w:cs="宋体" w:asciiTheme="minorEastAsia" w:hAnsiTheme="minorEastAsia" w:eastAsiaTheme="minorEastAsia"/>
                <w:kern w:val="0"/>
                <w:sz w:val="20"/>
                <w:szCs w:val="20"/>
              </w:rPr>
            </w:pPr>
          </w:p>
        </w:tc>
        <w:tc>
          <w:tcPr>
            <w:tcW w:w="1290" w:type="dxa"/>
            <w:tcBorders>
              <w:top w:val="nil"/>
              <w:left w:val="nil"/>
              <w:bottom w:val="single" w:color="auto" w:sz="4" w:space="0"/>
              <w:right w:val="single" w:color="auto" w:sz="4" w:space="0"/>
            </w:tcBorders>
            <w:shd w:val="clear" w:color="auto" w:fill="auto"/>
            <w:noWrap/>
            <w:vAlign w:val="center"/>
          </w:tcPr>
          <w:p w14:paraId="0B023C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医疗废物环境污染改善率</w:t>
            </w:r>
          </w:p>
        </w:tc>
        <w:tc>
          <w:tcPr>
            <w:tcW w:w="1071" w:type="dxa"/>
            <w:tcBorders>
              <w:top w:val="nil"/>
              <w:left w:val="nil"/>
              <w:bottom w:val="single" w:color="auto" w:sz="4" w:space="0"/>
              <w:right w:val="single" w:color="auto" w:sz="4" w:space="0"/>
            </w:tcBorders>
            <w:shd w:val="clear" w:color="auto" w:fill="auto"/>
            <w:noWrap/>
            <w:vAlign w:val="center"/>
          </w:tcPr>
          <w:p w14:paraId="6FCED5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264" w:type="dxa"/>
            <w:tcBorders>
              <w:top w:val="nil"/>
              <w:left w:val="nil"/>
              <w:bottom w:val="single" w:color="auto" w:sz="4" w:space="0"/>
              <w:right w:val="single" w:color="auto" w:sz="4" w:space="0"/>
            </w:tcBorders>
            <w:shd w:val="clear" w:color="auto" w:fill="auto"/>
            <w:noWrap/>
            <w:vAlign w:val="center"/>
          </w:tcPr>
          <w:p w14:paraId="6CD5A6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noWrap/>
            <w:vAlign w:val="center"/>
          </w:tcPr>
          <w:p w14:paraId="5B612C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3A0760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48171E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3E503CE">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B64B9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25" w:type="dxa"/>
            <w:vMerge w:val="continue"/>
            <w:tcBorders>
              <w:top w:val="nil"/>
              <w:left w:val="single" w:color="auto" w:sz="4" w:space="0"/>
              <w:bottom w:val="single" w:color="auto" w:sz="4" w:space="0"/>
              <w:right w:val="single" w:color="auto" w:sz="4" w:space="0"/>
            </w:tcBorders>
            <w:vAlign w:val="center"/>
          </w:tcPr>
          <w:p w14:paraId="22235A90">
            <w:pPr>
              <w:widowControl/>
              <w:jc w:val="center"/>
              <w:rPr>
                <w:rFonts w:hint="eastAsia" w:cs="宋体" w:asciiTheme="minorEastAsia" w:hAnsiTheme="minorEastAsia" w:eastAsiaTheme="minorEastAsia"/>
                <w:kern w:val="0"/>
                <w:sz w:val="20"/>
                <w:szCs w:val="20"/>
              </w:rPr>
            </w:pPr>
          </w:p>
        </w:tc>
        <w:tc>
          <w:tcPr>
            <w:tcW w:w="1290" w:type="dxa"/>
            <w:tcBorders>
              <w:top w:val="nil"/>
              <w:left w:val="nil"/>
              <w:bottom w:val="single" w:color="auto" w:sz="4" w:space="0"/>
              <w:right w:val="single" w:color="auto" w:sz="4" w:space="0"/>
            </w:tcBorders>
            <w:shd w:val="clear" w:color="auto" w:fill="auto"/>
            <w:noWrap/>
            <w:vAlign w:val="center"/>
          </w:tcPr>
          <w:p w14:paraId="41561463">
            <w:pPr>
              <w:widowControl/>
              <w:jc w:val="center"/>
              <w:rPr>
                <w:rFonts w:hint="eastAsia" w:cs="宋体" w:asciiTheme="minorEastAsia" w:hAnsiTheme="minorEastAsia" w:eastAsiaTheme="minorEastAsia"/>
                <w:kern w:val="0"/>
                <w:sz w:val="20"/>
                <w:szCs w:val="20"/>
              </w:rPr>
            </w:pPr>
          </w:p>
        </w:tc>
        <w:tc>
          <w:tcPr>
            <w:tcW w:w="1071" w:type="dxa"/>
            <w:tcBorders>
              <w:top w:val="nil"/>
              <w:left w:val="nil"/>
              <w:bottom w:val="single" w:color="auto" w:sz="4" w:space="0"/>
              <w:right w:val="single" w:color="auto" w:sz="4" w:space="0"/>
            </w:tcBorders>
            <w:shd w:val="clear" w:color="auto" w:fill="auto"/>
            <w:noWrap/>
            <w:vAlign w:val="center"/>
          </w:tcPr>
          <w:p w14:paraId="1E58FE25">
            <w:pPr>
              <w:widowControl/>
              <w:jc w:val="center"/>
              <w:rPr>
                <w:rFonts w:hint="eastAsia" w:cs="宋体" w:asciiTheme="minorEastAsia" w:hAnsiTheme="minorEastAsia" w:eastAsiaTheme="minorEastAsia"/>
                <w:kern w:val="0"/>
                <w:sz w:val="20"/>
                <w:szCs w:val="20"/>
              </w:rPr>
            </w:pPr>
          </w:p>
        </w:tc>
        <w:tc>
          <w:tcPr>
            <w:tcW w:w="1264" w:type="dxa"/>
            <w:tcBorders>
              <w:top w:val="nil"/>
              <w:left w:val="nil"/>
              <w:bottom w:val="single" w:color="auto" w:sz="4" w:space="0"/>
              <w:right w:val="single" w:color="auto" w:sz="4" w:space="0"/>
            </w:tcBorders>
            <w:shd w:val="clear" w:color="auto" w:fill="auto"/>
            <w:noWrap/>
            <w:vAlign w:val="center"/>
          </w:tcPr>
          <w:p w14:paraId="571AA5A9">
            <w:pPr>
              <w:widowControl/>
              <w:jc w:val="center"/>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noWrap/>
            <w:vAlign w:val="center"/>
          </w:tcPr>
          <w:p w14:paraId="34522487">
            <w:pPr>
              <w:widowControl/>
              <w:jc w:val="center"/>
              <w:rPr>
                <w:rFonts w:hint="eastAsia" w:cs="宋体" w:asciiTheme="minorEastAsia" w:hAnsiTheme="minorEastAsia" w:eastAsiaTheme="minorEastAsia"/>
                <w:kern w:val="0"/>
                <w:sz w:val="20"/>
                <w:szCs w:val="20"/>
              </w:rPr>
            </w:pPr>
          </w:p>
        </w:tc>
        <w:tc>
          <w:tcPr>
            <w:tcW w:w="709" w:type="dxa"/>
            <w:tcBorders>
              <w:top w:val="nil"/>
              <w:left w:val="nil"/>
              <w:bottom w:val="single" w:color="auto" w:sz="4" w:space="0"/>
              <w:right w:val="single" w:color="auto" w:sz="4" w:space="0"/>
            </w:tcBorders>
            <w:shd w:val="clear" w:color="auto" w:fill="auto"/>
            <w:noWrap/>
            <w:vAlign w:val="center"/>
          </w:tcPr>
          <w:p w14:paraId="4E502A9B">
            <w:pPr>
              <w:widowControl/>
              <w:jc w:val="center"/>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747F54CC">
            <w:pPr>
              <w:widowControl/>
              <w:jc w:val="center"/>
              <w:rPr>
                <w:rFonts w:hint="eastAsia" w:cs="宋体" w:asciiTheme="minorEastAsia" w:hAnsiTheme="minorEastAsia" w:eastAsiaTheme="minorEastAsia"/>
                <w:kern w:val="0"/>
                <w:sz w:val="20"/>
                <w:szCs w:val="20"/>
              </w:rPr>
            </w:pPr>
          </w:p>
        </w:tc>
      </w:tr>
      <w:tr w14:paraId="12977051">
        <w:tblPrEx>
          <w:tblCellMar>
            <w:top w:w="0" w:type="dxa"/>
            <w:left w:w="108" w:type="dxa"/>
            <w:bottom w:w="0" w:type="dxa"/>
            <w:right w:w="108" w:type="dxa"/>
          </w:tblCellMar>
        </w:tblPrEx>
        <w:trPr>
          <w:trHeight w:val="741"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3CFCC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25" w:type="dxa"/>
            <w:vMerge w:val="continue"/>
            <w:tcBorders>
              <w:top w:val="nil"/>
              <w:left w:val="single" w:color="auto" w:sz="4" w:space="0"/>
              <w:bottom w:val="single" w:color="auto" w:sz="4" w:space="0"/>
              <w:right w:val="single" w:color="auto" w:sz="4" w:space="0"/>
            </w:tcBorders>
            <w:vAlign w:val="center"/>
          </w:tcPr>
          <w:p w14:paraId="25EBF6B2">
            <w:pPr>
              <w:widowControl/>
              <w:jc w:val="center"/>
              <w:rPr>
                <w:rFonts w:hint="eastAsia" w:cs="宋体" w:asciiTheme="minorEastAsia" w:hAnsiTheme="minorEastAsia" w:eastAsiaTheme="minorEastAsia"/>
                <w:kern w:val="0"/>
                <w:sz w:val="20"/>
                <w:szCs w:val="20"/>
              </w:rPr>
            </w:pPr>
          </w:p>
        </w:tc>
        <w:tc>
          <w:tcPr>
            <w:tcW w:w="1290" w:type="dxa"/>
            <w:tcBorders>
              <w:top w:val="nil"/>
              <w:left w:val="nil"/>
              <w:bottom w:val="single" w:color="auto" w:sz="4" w:space="0"/>
              <w:right w:val="single" w:color="auto" w:sz="4" w:space="0"/>
            </w:tcBorders>
            <w:shd w:val="clear" w:color="auto" w:fill="auto"/>
            <w:noWrap/>
            <w:vAlign w:val="center"/>
          </w:tcPr>
          <w:p w14:paraId="6863C914">
            <w:pPr>
              <w:widowControl/>
              <w:jc w:val="center"/>
              <w:rPr>
                <w:rFonts w:hint="eastAsia" w:cs="宋体" w:asciiTheme="minorEastAsia" w:hAnsiTheme="minorEastAsia" w:eastAsiaTheme="minorEastAsia"/>
                <w:kern w:val="0"/>
                <w:sz w:val="20"/>
                <w:szCs w:val="20"/>
              </w:rPr>
            </w:pPr>
          </w:p>
        </w:tc>
        <w:tc>
          <w:tcPr>
            <w:tcW w:w="1071" w:type="dxa"/>
            <w:tcBorders>
              <w:top w:val="nil"/>
              <w:left w:val="nil"/>
              <w:bottom w:val="single" w:color="auto" w:sz="4" w:space="0"/>
              <w:right w:val="single" w:color="auto" w:sz="4" w:space="0"/>
            </w:tcBorders>
            <w:shd w:val="clear" w:color="auto" w:fill="auto"/>
            <w:noWrap/>
            <w:vAlign w:val="center"/>
          </w:tcPr>
          <w:p w14:paraId="5725E9DE">
            <w:pPr>
              <w:widowControl/>
              <w:jc w:val="center"/>
              <w:rPr>
                <w:rFonts w:hint="eastAsia" w:cs="宋体" w:asciiTheme="minorEastAsia" w:hAnsiTheme="minorEastAsia" w:eastAsiaTheme="minorEastAsia"/>
                <w:kern w:val="0"/>
                <w:sz w:val="20"/>
                <w:szCs w:val="20"/>
              </w:rPr>
            </w:pPr>
          </w:p>
        </w:tc>
        <w:tc>
          <w:tcPr>
            <w:tcW w:w="1264" w:type="dxa"/>
            <w:tcBorders>
              <w:top w:val="nil"/>
              <w:left w:val="nil"/>
              <w:bottom w:val="single" w:color="auto" w:sz="4" w:space="0"/>
              <w:right w:val="single" w:color="auto" w:sz="4" w:space="0"/>
            </w:tcBorders>
            <w:shd w:val="clear" w:color="auto" w:fill="auto"/>
            <w:noWrap/>
            <w:vAlign w:val="center"/>
          </w:tcPr>
          <w:p w14:paraId="6489CF2D">
            <w:pPr>
              <w:widowControl/>
              <w:jc w:val="center"/>
              <w:rPr>
                <w:rFonts w:hint="eastAsia" w:cs="宋体" w:asciiTheme="minorEastAsia" w:hAnsiTheme="minorEastAsia" w:eastAsiaTheme="minorEastAsia"/>
                <w:kern w:val="0"/>
                <w:sz w:val="20"/>
                <w:szCs w:val="20"/>
              </w:rPr>
            </w:pPr>
          </w:p>
        </w:tc>
        <w:tc>
          <w:tcPr>
            <w:tcW w:w="853" w:type="dxa"/>
            <w:tcBorders>
              <w:top w:val="nil"/>
              <w:left w:val="nil"/>
              <w:bottom w:val="single" w:color="auto" w:sz="4" w:space="0"/>
              <w:right w:val="single" w:color="auto" w:sz="4" w:space="0"/>
            </w:tcBorders>
            <w:shd w:val="clear" w:color="auto" w:fill="auto"/>
            <w:noWrap/>
            <w:vAlign w:val="center"/>
          </w:tcPr>
          <w:p w14:paraId="15DDCFE9">
            <w:pPr>
              <w:widowControl/>
              <w:jc w:val="center"/>
              <w:rPr>
                <w:rFonts w:hint="eastAsia" w:cs="宋体" w:asciiTheme="minorEastAsia" w:hAnsiTheme="minorEastAsia" w:eastAsiaTheme="minorEastAsia"/>
                <w:kern w:val="0"/>
                <w:sz w:val="20"/>
                <w:szCs w:val="20"/>
              </w:rPr>
            </w:pPr>
          </w:p>
        </w:tc>
        <w:tc>
          <w:tcPr>
            <w:tcW w:w="709" w:type="dxa"/>
            <w:tcBorders>
              <w:top w:val="nil"/>
              <w:left w:val="nil"/>
              <w:bottom w:val="single" w:color="auto" w:sz="4" w:space="0"/>
              <w:right w:val="single" w:color="auto" w:sz="4" w:space="0"/>
            </w:tcBorders>
            <w:shd w:val="clear" w:color="auto" w:fill="auto"/>
            <w:noWrap/>
            <w:vAlign w:val="center"/>
          </w:tcPr>
          <w:p w14:paraId="797DD9F5">
            <w:pPr>
              <w:widowControl/>
              <w:jc w:val="center"/>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noWrap/>
            <w:vAlign w:val="center"/>
          </w:tcPr>
          <w:p w14:paraId="6C1F94AC">
            <w:pPr>
              <w:widowControl/>
              <w:jc w:val="center"/>
              <w:rPr>
                <w:rFonts w:hint="eastAsia" w:cs="宋体" w:asciiTheme="minorEastAsia" w:hAnsiTheme="minorEastAsia" w:eastAsiaTheme="minorEastAsia"/>
                <w:kern w:val="0"/>
                <w:sz w:val="20"/>
                <w:szCs w:val="20"/>
              </w:rPr>
            </w:pPr>
          </w:p>
        </w:tc>
      </w:tr>
      <w:tr w14:paraId="302C2B03">
        <w:tblPrEx>
          <w:tblCellMar>
            <w:top w:w="0" w:type="dxa"/>
            <w:left w:w="108" w:type="dxa"/>
            <w:bottom w:w="0" w:type="dxa"/>
            <w:right w:w="108" w:type="dxa"/>
          </w:tblCellMar>
        </w:tblPrEx>
        <w:trPr>
          <w:trHeight w:val="741"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6BC81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25" w:type="dxa"/>
            <w:vMerge w:val="continue"/>
            <w:tcBorders>
              <w:top w:val="nil"/>
              <w:left w:val="single" w:color="auto" w:sz="4" w:space="0"/>
              <w:bottom w:val="single" w:color="auto" w:sz="4" w:space="0"/>
              <w:right w:val="single" w:color="auto" w:sz="4" w:space="0"/>
            </w:tcBorders>
            <w:vAlign w:val="center"/>
          </w:tcPr>
          <w:p w14:paraId="18B5A76C">
            <w:pPr>
              <w:widowControl/>
              <w:jc w:val="center"/>
              <w:rPr>
                <w:rFonts w:hint="eastAsia" w:cs="宋体" w:asciiTheme="minorEastAsia" w:hAnsiTheme="minorEastAsia" w:eastAsiaTheme="minorEastAsia"/>
                <w:kern w:val="0"/>
                <w:sz w:val="20"/>
                <w:szCs w:val="20"/>
              </w:rPr>
            </w:pPr>
          </w:p>
        </w:tc>
        <w:tc>
          <w:tcPr>
            <w:tcW w:w="1290" w:type="dxa"/>
            <w:tcBorders>
              <w:top w:val="nil"/>
              <w:left w:val="nil"/>
              <w:bottom w:val="single" w:color="auto" w:sz="4" w:space="0"/>
              <w:right w:val="single" w:color="auto" w:sz="4" w:space="0"/>
            </w:tcBorders>
            <w:shd w:val="clear" w:color="auto" w:fill="auto"/>
            <w:noWrap/>
            <w:vAlign w:val="center"/>
          </w:tcPr>
          <w:p w14:paraId="0BE493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就医群众满意度</w:t>
            </w:r>
          </w:p>
        </w:tc>
        <w:tc>
          <w:tcPr>
            <w:tcW w:w="1071" w:type="dxa"/>
            <w:tcBorders>
              <w:top w:val="nil"/>
              <w:left w:val="nil"/>
              <w:bottom w:val="single" w:color="auto" w:sz="4" w:space="0"/>
              <w:right w:val="single" w:color="auto" w:sz="4" w:space="0"/>
            </w:tcBorders>
            <w:shd w:val="clear" w:color="auto" w:fill="auto"/>
            <w:noWrap/>
            <w:vAlign w:val="center"/>
          </w:tcPr>
          <w:p w14:paraId="5AFD86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64" w:type="dxa"/>
            <w:tcBorders>
              <w:top w:val="nil"/>
              <w:left w:val="nil"/>
              <w:bottom w:val="single" w:color="auto" w:sz="4" w:space="0"/>
              <w:right w:val="single" w:color="auto" w:sz="4" w:space="0"/>
            </w:tcBorders>
            <w:shd w:val="clear" w:color="auto" w:fill="auto"/>
            <w:noWrap/>
            <w:vAlign w:val="center"/>
          </w:tcPr>
          <w:p w14:paraId="4B2572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noWrap/>
            <w:vAlign w:val="center"/>
          </w:tcPr>
          <w:p w14:paraId="769C9F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71B1D9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4EE131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6B7A71E">
        <w:tblPrEx>
          <w:tblCellMar>
            <w:top w:w="0" w:type="dxa"/>
            <w:left w:w="108" w:type="dxa"/>
            <w:bottom w:w="0" w:type="dxa"/>
            <w:right w:w="108" w:type="dxa"/>
          </w:tblCellMar>
        </w:tblPrEx>
        <w:trPr>
          <w:trHeight w:val="74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7AF11A">
            <w:pPr>
              <w:widowControl/>
              <w:jc w:val="center"/>
              <w:rPr>
                <w:rFonts w:hint="eastAsia" w:cs="宋体" w:asciiTheme="minorEastAsia" w:hAnsiTheme="minorEastAsia" w:eastAsiaTheme="minorEastAsia"/>
                <w:kern w:val="0"/>
                <w:sz w:val="20"/>
                <w:szCs w:val="20"/>
              </w:rPr>
            </w:pPr>
          </w:p>
        </w:tc>
        <w:tc>
          <w:tcPr>
            <w:tcW w:w="825" w:type="dxa"/>
            <w:vMerge w:val="continue"/>
            <w:tcBorders>
              <w:top w:val="nil"/>
              <w:left w:val="single" w:color="auto" w:sz="4" w:space="0"/>
              <w:bottom w:val="single" w:color="auto" w:sz="4" w:space="0"/>
              <w:right w:val="single" w:color="auto" w:sz="4" w:space="0"/>
            </w:tcBorders>
            <w:vAlign w:val="center"/>
          </w:tcPr>
          <w:p w14:paraId="6C803235">
            <w:pPr>
              <w:widowControl/>
              <w:jc w:val="center"/>
              <w:rPr>
                <w:rFonts w:hint="eastAsia" w:cs="宋体" w:asciiTheme="minorEastAsia" w:hAnsiTheme="minorEastAsia" w:eastAsiaTheme="minorEastAsia"/>
                <w:kern w:val="0"/>
                <w:sz w:val="20"/>
                <w:szCs w:val="20"/>
              </w:rPr>
            </w:pPr>
          </w:p>
        </w:tc>
        <w:tc>
          <w:tcPr>
            <w:tcW w:w="1290" w:type="dxa"/>
            <w:tcBorders>
              <w:top w:val="nil"/>
              <w:left w:val="nil"/>
              <w:bottom w:val="single" w:color="auto" w:sz="4" w:space="0"/>
              <w:right w:val="single" w:color="auto" w:sz="4" w:space="0"/>
            </w:tcBorders>
            <w:shd w:val="clear" w:color="auto" w:fill="auto"/>
            <w:noWrap/>
            <w:vAlign w:val="center"/>
          </w:tcPr>
          <w:p w14:paraId="0D130B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医院满意度</w:t>
            </w:r>
          </w:p>
        </w:tc>
        <w:tc>
          <w:tcPr>
            <w:tcW w:w="1071" w:type="dxa"/>
            <w:tcBorders>
              <w:top w:val="nil"/>
              <w:left w:val="nil"/>
              <w:bottom w:val="single" w:color="auto" w:sz="4" w:space="0"/>
              <w:right w:val="single" w:color="auto" w:sz="4" w:space="0"/>
            </w:tcBorders>
            <w:shd w:val="clear" w:color="auto" w:fill="auto"/>
            <w:noWrap/>
            <w:vAlign w:val="center"/>
          </w:tcPr>
          <w:p w14:paraId="2EA165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64" w:type="dxa"/>
            <w:tcBorders>
              <w:top w:val="nil"/>
              <w:left w:val="nil"/>
              <w:bottom w:val="single" w:color="auto" w:sz="4" w:space="0"/>
              <w:right w:val="single" w:color="auto" w:sz="4" w:space="0"/>
            </w:tcBorders>
            <w:shd w:val="clear" w:color="auto" w:fill="auto"/>
            <w:noWrap/>
            <w:vAlign w:val="center"/>
          </w:tcPr>
          <w:p w14:paraId="00BB7A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木垒哈萨克自治县卫生监督所2023年工作计划</w:t>
            </w:r>
          </w:p>
        </w:tc>
        <w:tc>
          <w:tcPr>
            <w:tcW w:w="853" w:type="dxa"/>
            <w:tcBorders>
              <w:top w:val="nil"/>
              <w:left w:val="nil"/>
              <w:bottom w:val="single" w:color="auto" w:sz="4" w:space="0"/>
              <w:right w:val="single" w:color="auto" w:sz="4" w:space="0"/>
            </w:tcBorders>
            <w:shd w:val="clear" w:color="auto" w:fill="auto"/>
            <w:noWrap/>
            <w:vAlign w:val="center"/>
          </w:tcPr>
          <w:p w14:paraId="334C04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065BDD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0D4F4F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0874FE78">
      <w:pPr>
        <w:ind w:firstLine="640" w:firstLineChars="200"/>
        <w:jc w:val="left"/>
        <w:rPr>
          <w:rFonts w:hint="eastAsia" w:ascii="黑体" w:hAnsi="黑体" w:eastAsia="黑体" w:cs="宋体"/>
          <w:bCs/>
          <w:kern w:val="0"/>
          <w:sz w:val="32"/>
          <w:szCs w:val="32"/>
        </w:rPr>
      </w:pPr>
    </w:p>
    <w:p w14:paraId="07FA3323">
      <w:pPr>
        <w:ind w:firstLine="640" w:firstLineChars="200"/>
        <w:jc w:val="left"/>
        <w:rPr>
          <w:rFonts w:hint="eastAsia" w:ascii="黑体" w:hAnsi="黑体" w:eastAsia="黑体" w:cs="宋体"/>
          <w:bCs/>
          <w:kern w:val="0"/>
          <w:sz w:val="32"/>
          <w:szCs w:val="32"/>
        </w:rPr>
      </w:pPr>
      <w:bookmarkStart w:id="48" w:name="_GoBack"/>
      <w:bookmarkEnd w:id="48"/>
      <w:r>
        <w:rPr>
          <w:rFonts w:hint="eastAsia" w:ascii="黑体" w:hAnsi="黑体" w:eastAsia="黑体" w:cs="宋体"/>
          <w:bCs/>
          <w:kern w:val="0"/>
          <w:sz w:val="32"/>
          <w:szCs w:val="32"/>
        </w:rPr>
        <w:t>十二、其他需说明的事项</w:t>
      </w:r>
    </w:p>
    <w:p w14:paraId="24887C9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852C7FB">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14:paraId="09647E6E">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14:paraId="6F52FAA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D67D24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2FBE62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4B974F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9C9A31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78378E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9C15E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A5DC8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E6247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A111B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D571C8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1EDB29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6E9455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16D9F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DB41EF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2149B7B">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B9DAEE7">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B4B9915">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E3C60D7">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D5C0A60">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F06B880">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6FE0E61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21E89152">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721BC5D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E8194C9">
      <w:pPr>
        <w:ind w:firstLine="640" w:firstLineChars="200"/>
        <w:rPr>
          <w:rFonts w:ascii="仿宋_GB2312" w:eastAsia="仿宋_GB2312"/>
          <w:sz w:val="32"/>
          <w:szCs w:val="32"/>
        </w:rPr>
      </w:pPr>
    </w:p>
    <w:p w14:paraId="3C35A82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3F77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B7090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8B7090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AC1A2F"/>
    <w:rsid w:val="00055A42"/>
    <w:rsid w:val="000C31B3"/>
    <w:rsid w:val="00160257"/>
    <w:rsid w:val="001C0E44"/>
    <w:rsid w:val="001D4C85"/>
    <w:rsid w:val="00213C59"/>
    <w:rsid w:val="0029166B"/>
    <w:rsid w:val="002A7770"/>
    <w:rsid w:val="003210CE"/>
    <w:rsid w:val="003409E0"/>
    <w:rsid w:val="00342E74"/>
    <w:rsid w:val="003A4F0E"/>
    <w:rsid w:val="003C78E5"/>
    <w:rsid w:val="004038FE"/>
    <w:rsid w:val="00577ECE"/>
    <w:rsid w:val="00586898"/>
    <w:rsid w:val="005C6479"/>
    <w:rsid w:val="00626017"/>
    <w:rsid w:val="00683AC4"/>
    <w:rsid w:val="00750680"/>
    <w:rsid w:val="00906E27"/>
    <w:rsid w:val="009C7D7D"/>
    <w:rsid w:val="00A04C9C"/>
    <w:rsid w:val="00A24D27"/>
    <w:rsid w:val="00A41F5B"/>
    <w:rsid w:val="00A53986"/>
    <w:rsid w:val="00AC1A2F"/>
    <w:rsid w:val="00AC41E0"/>
    <w:rsid w:val="00AF1D76"/>
    <w:rsid w:val="00B70D59"/>
    <w:rsid w:val="00BB0B98"/>
    <w:rsid w:val="00BD739C"/>
    <w:rsid w:val="00C41EDC"/>
    <w:rsid w:val="00CD6922"/>
    <w:rsid w:val="00CE34B3"/>
    <w:rsid w:val="00CF286E"/>
    <w:rsid w:val="00DA31B1"/>
    <w:rsid w:val="00E912B3"/>
    <w:rsid w:val="00ED1B3A"/>
    <w:rsid w:val="00F11979"/>
    <w:rsid w:val="00F2145C"/>
    <w:rsid w:val="00F52A8D"/>
    <w:rsid w:val="00F908D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1044AC"/>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6075</Words>
  <Characters>6809</Characters>
  <Lines>56</Lines>
  <Paragraphs>15</Paragraphs>
  <TotalTime>3</TotalTime>
  <ScaleCrop>false</ScaleCrop>
  <LinksUpToDate>false</LinksUpToDate>
  <CharactersWithSpaces>6839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2024-12-10T06:43:11Z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